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F5633">
      <w:pPr>
        <w:kinsoku w:val="0"/>
        <w:autoSpaceDE w:val="0"/>
        <w:autoSpaceDN w:val="0"/>
        <w:adjustRightInd w:val="0"/>
        <w:snapToGrid w:val="0"/>
        <w:spacing w:before="167" w:line="240" w:lineRule="auto"/>
        <w:jc w:val="center"/>
        <w:outlineLvl w:val="0"/>
        <w:rPr>
          <w:rFonts w:hint="eastAsia" w:ascii="方正小标宋简体" w:hAnsi="方正小标宋简体" w:eastAsia="方正小标宋简体" w:cs="方正小标宋简体"/>
          <w:snapToGrid w:val="0"/>
          <w:color w:val="000000"/>
          <w:spacing w:val="8"/>
          <w:kern w:val="0"/>
          <w:sz w:val="44"/>
          <w:szCs w:val="44"/>
          <w:lang w:val="en-US" w:eastAsia="zh-CN" w:bidi="ar-SA"/>
        </w:rPr>
      </w:pPr>
      <w:r>
        <w:rPr>
          <w:rFonts w:hint="eastAsia" w:ascii="方正小标宋简体" w:hAnsi="方正小标宋简体" w:eastAsia="方正小标宋简体" w:cs="方正小标宋简体"/>
          <w:snapToGrid w:val="0"/>
          <w:color w:val="000000"/>
          <w:spacing w:val="8"/>
          <w:kern w:val="0"/>
          <w:sz w:val="44"/>
          <w:szCs w:val="44"/>
          <w:lang w:val="en-US" w:eastAsia="zh-CN" w:bidi="ar-SA"/>
        </w:rPr>
        <w:t>《物品编</w:t>
      </w:r>
      <w:bookmarkStart w:id="0" w:name="_GoBack"/>
      <w:bookmarkEnd w:id="0"/>
      <w:r>
        <w:rPr>
          <w:rFonts w:hint="eastAsia" w:ascii="方正小标宋简体" w:hAnsi="方正小标宋简体" w:eastAsia="方正小标宋简体" w:cs="方正小标宋简体"/>
          <w:snapToGrid w:val="0"/>
          <w:color w:val="000000"/>
          <w:spacing w:val="8"/>
          <w:kern w:val="0"/>
          <w:sz w:val="44"/>
          <w:szCs w:val="44"/>
          <w:lang w:val="en-US" w:eastAsia="zh-CN" w:bidi="ar-SA"/>
        </w:rPr>
        <w:t>码服务标准体系建设指南》团体标准编制说明</w:t>
      </w:r>
    </w:p>
    <w:p w14:paraId="4807BF9B">
      <w:pPr>
        <w:kinsoku w:val="0"/>
        <w:autoSpaceDE w:val="0"/>
        <w:autoSpaceDN w:val="0"/>
        <w:adjustRightInd w:val="0"/>
        <w:snapToGrid w:val="0"/>
        <w:spacing w:before="167" w:line="240" w:lineRule="auto"/>
        <w:jc w:val="both"/>
        <w:outlineLvl w:val="0"/>
        <w:rPr>
          <w:rFonts w:hint="eastAsia" w:ascii="黑体" w:hAnsi="黑体" w:eastAsia="黑体" w:cs="黑体"/>
          <w:snapToGrid w:val="0"/>
          <w:color w:val="000000"/>
          <w:spacing w:val="8"/>
          <w:kern w:val="0"/>
          <w:sz w:val="32"/>
          <w:szCs w:val="32"/>
          <w:lang w:val="en-US" w:eastAsia="zh-CN" w:bidi="ar-SA"/>
        </w:rPr>
      </w:pPr>
    </w:p>
    <w:p w14:paraId="00AF2E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jc w:val="left"/>
        <w:textAlignment w:val="baseline"/>
        <w:outlineLvl w:val="2"/>
        <w:rPr>
          <w:rFonts w:hint="eastAsia" w:ascii="黑体" w:hAnsi="黑体" w:eastAsia="黑体" w:cs="黑体"/>
          <w:snapToGrid w:val="0"/>
          <w:color w:val="000000"/>
          <w:spacing w:val="8"/>
          <w:kern w:val="0"/>
          <w:sz w:val="32"/>
          <w:szCs w:val="32"/>
          <w:lang w:val="en-US" w:eastAsia="zh-CN" w:bidi="ar-SA"/>
        </w:rPr>
      </w:pPr>
    </w:p>
    <w:p w14:paraId="7B4B53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一、项目背景</w:t>
      </w:r>
    </w:p>
    <w:p w14:paraId="6C7B09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黑体" w:hAnsi="黑体" w:eastAsia="黑体" w:cs="黑体"/>
          <w:snapToGrid w:val="0"/>
          <w:color w:val="000000"/>
          <w:spacing w:val="8"/>
          <w:kern w:val="0"/>
          <w:sz w:val="32"/>
          <w:szCs w:val="32"/>
          <w:lang w:val="en-US" w:eastAsia="zh-CN" w:bidi="ar-SA"/>
        </w:rPr>
        <w:t>1、背景</w:t>
      </w:r>
    </w:p>
    <w:p w14:paraId="3CA09F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40" w:firstLineChars="200"/>
        <w:jc w:val="left"/>
        <w:textAlignment w:val="baseline"/>
        <w:outlineLvl w:val="2"/>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在全球经济一体化和数字化技术飞速发展的背景下，物品编码作为连接物理世界与数字世界的桥梁，在物品流通、供应链管理以及质量追溯等领域发挥着不可替代的作用。近年来，物品编码服务应用范围不断扩大，据中国物品编码中心统计，截至2025年3月，我国商品条码基础数据量超2.1亿条，全国系统成员保有量超过60万家，全国物品编码分支机构共47家，物品编码服务应用场景不断拓展至金融、电商、工业品等领域。伴随数字经济与实体经济的深度融合，企业对物品编码服务的需求也呈现出多元化新趋势，从基础编码应用到单品追溯、供应链优化等，均对物品编码服务的规范性、专业性提出更高要求。为紧跟行业发展趋势、引导行业健康有序发展，建立物品编码服务工作标准体系迫 在眉睫。</w:t>
      </w:r>
    </w:p>
    <w:p w14:paraId="7C10825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40" w:firstLineChars="200"/>
        <w:jc w:val="left"/>
        <w:textAlignment w:val="baseline"/>
        <w:outlineLvl w:val="2"/>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物品编码服务工作的标准化建设是行业发展需求，也是国家政策引导的重点之一。《国家标准化发展纲要》明确提出“推进服务业标准化、品牌化建设，健全服务业标准”，这一纲领性文件将物品编码服务纳入国家标准化战略，要求通过标准体系建设提升服务效率与品质。而建立物品编码服务工作标准体系将弥补物品编码服务标准的空白，进一步提升物品编码服务质量。</w:t>
      </w:r>
    </w:p>
    <w:p w14:paraId="14E581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40" w:firstLineChars="200"/>
        <w:jc w:val="left"/>
        <w:textAlignment w:val="baseline"/>
        <w:outlineLvl w:val="2"/>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当前各分支机构因地域和行业发展速度不同等原因形成了物品编码服务流程、服务保障等内容的差异化发展，企业在编码申请、数据管理、质量追溯等环节体验感各有不同。因此需要建立物品编码服务工作标准体系，构建一套科学、系统、实用、可扩展的标准体系，规范物品编码服务工作中的服务保障、服务提供、服务监督等环节，提升物品编码服务的规范化、专业化和信息化水平，为物品编码服务机构和从业人员提供标准化服务引导，推动物品编码事业的健康有序发展。</w:t>
      </w:r>
    </w:p>
    <w:p w14:paraId="338AB9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二、工作简况</w:t>
      </w:r>
    </w:p>
    <w:p w14:paraId="4A72AA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1、任务来源</w:t>
      </w:r>
    </w:p>
    <w:p w14:paraId="7B32D62A">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本标准由中国物品编码中心提出，中国条码技术与应用协会归口，于2025年4月8日批准立项（立项名称：《物品编码服务标准体系建设指南》）。</w:t>
      </w:r>
    </w:p>
    <w:p w14:paraId="2A53011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主要工作过程</w:t>
      </w:r>
    </w:p>
    <w:p w14:paraId="559FDECF">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（1）标准立项阶段</w:t>
      </w:r>
    </w:p>
    <w:p w14:paraId="6F35B1FF">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2025年4月8日，中国条码技术与应用协会在北京市组织召开《物品编码服务标准体系建设指南》团体标准立项评审会。评审专家听取了标准起草组对标准立项必要性和标准草案内容的介绍，经对标准立项材料进行评审，形成意见如下：</w:t>
      </w:r>
    </w:p>
    <w:p w14:paraId="3F392536">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建议修改“6.4服务提供标准”；</w:t>
      </w:r>
    </w:p>
    <w:p w14:paraId="325A510A">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建议构建原则加入创新性、持续改进性等;</w:t>
      </w:r>
    </w:p>
    <w:p w14:paraId="6176B51D">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明确标准规范的对象与内容；</w:t>
      </w:r>
    </w:p>
    <w:p w14:paraId="4C7C1214">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量化标准体系层级；参照</w:t>
      </w:r>
      <w:r>
        <w:rPr>
          <w:rFonts w:hint="default" w:ascii="仿宋_GB2312" w:hAnsi="仿宋_GB2312" w:eastAsia="仿宋_GB2312" w:cs="仿宋_GB2312"/>
          <w:snapToGrid w:val="0"/>
          <w:color w:val="auto"/>
          <w:kern w:val="0"/>
          <w:sz w:val="32"/>
          <w:szCs w:val="32"/>
          <w:lang w:val="en-US" w:eastAsia="zh-CN" w:bidi="ar-SA"/>
        </w:rPr>
        <w:t>TC</w:t>
      </w:r>
      <w:r>
        <w:rPr>
          <w:rFonts w:hint="eastAsia" w:ascii="仿宋_GB2312" w:hAnsi="仿宋_GB2312" w:eastAsia="仿宋_GB2312" w:cs="仿宋_GB2312"/>
          <w:snapToGrid w:val="0"/>
          <w:color w:val="auto"/>
          <w:kern w:val="0"/>
          <w:sz w:val="32"/>
          <w:szCs w:val="32"/>
          <w:lang w:val="en-US" w:eastAsia="zh-CN" w:bidi="ar-SA"/>
        </w:rPr>
        <w:t xml:space="preserve"> </w:t>
      </w:r>
      <w:r>
        <w:rPr>
          <w:rFonts w:hint="default" w:ascii="仿宋_GB2312" w:hAnsi="仿宋_GB2312" w:eastAsia="仿宋_GB2312" w:cs="仿宋_GB2312"/>
          <w:snapToGrid w:val="0"/>
          <w:color w:val="auto"/>
          <w:kern w:val="0"/>
          <w:sz w:val="32"/>
          <w:szCs w:val="32"/>
          <w:lang w:val="en-US" w:eastAsia="zh-CN" w:bidi="ar-SA"/>
        </w:rPr>
        <w:t>287</w:t>
      </w:r>
      <w:r>
        <w:rPr>
          <w:rFonts w:hint="eastAsia" w:ascii="仿宋_GB2312" w:hAnsi="仿宋_GB2312" w:eastAsia="仿宋_GB2312" w:cs="仿宋_GB2312"/>
          <w:snapToGrid w:val="0"/>
          <w:color w:val="auto"/>
          <w:kern w:val="0"/>
          <w:sz w:val="32"/>
          <w:szCs w:val="32"/>
          <w:lang w:val="en-US" w:eastAsia="zh-CN" w:bidi="ar-SA"/>
        </w:rPr>
        <w:t>国家物品编码标准体系中的服务标准细化；</w:t>
      </w:r>
    </w:p>
    <w:p w14:paraId="1B76CFC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建议补充“岗位保障标准体系”相关内容；</w:t>
      </w:r>
    </w:p>
    <w:p w14:paraId="59E626B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建议补充标准体系表内容；</w:t>
      </w:r>
    </w:p>
    <w:p w14:paraId="53364842">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（2）征求意见阶段</w:t>
      </w:r>
    </w:p>
    <w:p w14:paraId="23A88DB2">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XXXX年XX月XX日-XXXX年XX月XX日，通过中国条码技术与应用协会官方网站公开向专业标技委、行业协会、科研机构、大专院校、XXXX等社会群体公开征求意见。公开征求意见后，起草组向XXXX定向征求意见，并召开研讨会，对标准结构和内容进行完善。本次主要修改如下：</w:t>
      </w:r>
    </w:p>
    <w:p w14:paraId="18701EE8">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p>
    <w:p w14:paraId="34A6B8B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p>
    <w:p w14:paraId="376B3797">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p>
    <w:p w14:paraId="72DAF0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highlight w:val="none"/>
          <w:lang w:val="en-US" w:eastAsia="zh-CN" w:bidi="ar-SA"/>
        </w:rPr>
      </w:pPr>
      <w:r>
        <w:rPr>
          <w:rFonts w:hint="eastAsia" w:ascii="黑体" w:hAnsi="黑体" w:eastAsia="黑体" w:cs="黑体"/>
          <w:snapToGrid w:val="0"/>
          <w:color w:val="000000"/>
          <w:spacing w:val="8"/>
          <w:kern w:val="0"/>
          <w:sz w:val="32"/>
          <w:szCs w:val="32"/>
          <w:highlight w:val="none"/>
          <w:lang w:val="en-US" w:eastAsia="zh-CN" w:bidi="ar-SA"/>
        </w:rPr>
        <w:t>三、编制原则与主要技术内容</w:t>
      </w:r>
    </w:p>
    <w:p w14:paraId="3C9E6E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highlight w:val="none"/>
          <w:lang w:val="en-US" w:eastAsia="zh-CN" w:bidi="ar-SA"/>
        </w:rPr>
      </w:pPr>
      <w:r>
        <w:rPr>
          <w:rFonts w:hint="eastAsia" w:ascii="黑体" w:hAnsi="黑体" w:eastAsia="黑体" w:cs="黑体"/>
          <w:snapToGrid w:val="0"/>
          <w:color w:val="000000"/>
          <w:spacing w:val="8"/>
          <w:kern w:val="0"/>
          <w:sz w:val="32"/>
          <w:szCs w:val="32"/>
          <w:highlight w:val="none"/>
          <w:lang w:val="en-US" w:eastAsia="zh-CN" w:bidi="ar-SA"/>
        </w:rPr>
        <w:t>1、编制原则</w:t>
      </w:r>
    </w:p>
    <w:p w14:paraId="2221608E">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本标准按照 GB/T1.1—2020《标准化工作导则 第1部分:标准化文件的结构和起草规则》、GB/T 20000.1-2014《标准化工作指南 第1部分：标准化和相关活动的通用术语》、GB/T 20000.2-2009《标准化工作指南 第2部分：采用国际标准》和 GB/T 20001《标准编写规则》 等进行，使标准更严谨、更规范。</w:t>
      </w:r>
    </w:p>
    <w:p w14:paraId="107676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auto"/>
          <w:spacing w:val="8"/>
          <w:kern w:val="0"/>
          <w:sz w:val="32"/>
          <w:szCs w:val="32"/>
          <w:highlight w:val="none"/>
          <w:lang w:val="en-US" w:eastAsia="zh-CN" w:bidi="ar-SA"/>
        </w:rPr>
      </w:pPr>
      <w:r>
        <w:rPr>
          <w:rFonts w:hint="eastAsia" w:ascii="黑体" w:hAnsi="黑体" w:eastAsia="黑体" w:cs="黑体"/>
          <w:snapToGrid w:val="0"/>
          <w:color w:val="000000"/>
          <w:spacing w:val="8"/>
          <w:kern w:val="0"/>
          <w:sz w:val="32"/>
          <w:szCs w:val="32"/>
          <w:highlight w:val="none"/>
          <w:lang w:val="en-US" w:eastAsia="zh-CN" w:bidi="ar-SA"/>
        </w:rPr>
        <w:t>2、</w:t>
      </w:r>
      <w:r>
        <w:rPr>
          <w:rFonts w:hint="eastAsia" w:ascii="黑体" w:hAnsi="黑体" w:eastAsia="黑体" w:cs="黑体"/>
          <w:snapToGrid w:val="0"/>
          <w:color w:val="auto"/>
          <w:spacing w:val="8"/>
          <w:kern w:val="0"/>
          <w:sz w:val="32"/>
          <w:szCs w:val="32"/>
          <w:highlight w:val="none"/>
          <w:lang w:val="en-US" w:eastAsia="zh-CN" w:bidi="ar-SA"/>
        </w:rPr>
        <w:t>主要技术内容</w:t>
      </w:r>
    </w:p>
    <w:p w14:paraId="435CF6EB">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本文件给出了物品编码服务标准体系构建的基本原则和标准体系框架结构。适用于指导我国物品编码工作机构及其分支机构构建物品编码服务标准体系。标准包括7点内容，其中第4～7章为标准的核心内容：</w:t>
      </w:r>
    </w:p>
    <w:p w14:paraId="60A32B9B">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——第4章：构建原则。规定了科学性、系统性、适用性、扩展性和持续改进性5项基本原则。</w:t>
      </w:r>
    </w:p>
    <w:p w14:paraId="59616705">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——第5章：标准体系组成。规定了物品编码服务标准体系框架图和标准明细表。</w:t>
      </w:r>
    </w:p>
    <w:p w14:paraId="194A7479">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——第6章：标准体系结构。按照物品编码服务特点和实际需求，将标准体系细分为通用基础、服务保障、服务提供、服务监督等4个标准子体系。</w:t>
      </w:r>
    </w:p>
    <w:p w14:paraId="0F42BB63">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——第7章：应用规范。规定了标准编制协调性及内容兼容性的实施要求。</w:t>
      </w:r>
    </w:p>
    <w:p w14:paraId="7488CC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四、与现行标准的协调性</w:t>
      </w:r>
    </w:p>
    <w:p w14:paraId="1A7BFAE3">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本标准符合GB/T 13016—2018 《标准体系构建原则和要求》</w:t>
      </w:r>
    </w:p>
    <w:p w14:paraId="0652295F">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、GB/T 24421.2—2023 《服务业组织标准化工作指南 第2部分：标准体系构建》对标准体系构建的要求。关键控制点设置与技术要求上与现行行业标准无冲突，确保标准的合法性与有效性，促进行业标准体系的协调发展。</w:t>
      </w:r>
    </w:p>
    <w:p w14:paraId="0E6FF0A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五、重大分歧意见处理</w:t>
      </w:r>
    </w:p>
    <w:p w14:paraId="2FF4265F">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本文件在修订过程中未出现过重大分歧。</w:t>
      </w:r>
    </w:p>
    <w:p w14:paraId="71860E87">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预期效益及实施建议</w:t>
      </w:r>
    </w:p>
    <w:p w14:paraId="1CA2817B">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预期效益</w:t>
      </w:r>
    </w:p>
    <w:p w14:paraId="545D61C3">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该标准规定了物品编码服务工作标准体系构建的基本原则、框架指南及实施要求，明确了服务基础、服务保障、服务提供、服务监督等核心环节的标准化规范。</w:t>
      </w:r>
      <w:r>
        <w:rPr>
          <w:rFonts w:hint="eastAsia" w:ascii="仿宋_GB2312" w:hAnsi="仿宋_GB2312" w:eastAsia="仿宋_GB2312" w:cs="仿宋_GB2312"/>
          <w:b/>
          <w:bCs/>
          <w:snapToGrid w:val="0"/>
          <w:color w:val="000000"/>
          <w:kern w:val="0"/>
          <w:sz w:val="32"/>
          <w:szCs w:val="32"/>
          <w:lang w:val="en-US" w:eastAsia="zh-CN" w:bidi="ar-SA"/>
        </w:rPr>
        <w:t>在服务规范化与行业协同方面，</w:t>
      </w:r>
      <w:r>
        <w:rPr>
          <w:rFonts w:hint="eastAsia" w:ascii="仿宋_GB2312" w:hAnsi="仿宋_GB2312" w:eastAsia="仿宋_GB2312" w:cs="仿宋_GB2312"/>
          <w:snapToGrid w:val="0"/>
          <w:color w:val="000000"/>
          <w:kern w:val="0"/>
          <w:sz w:val="32"/>
          <w:szCs w:val="32"/>
          <w:lang w:val="en-US" w:eastAsia="zh-CN" w:bidi="ar-SA"/>
        </w:rPr>
        <w:t>建立统一的服务流程与质量评价体系，为全国47家分支机构及60万系统成员企业提供权威操作基准；推动物品编码服务全链条标准化，解决因地域差异导致的服务质量不统一问题，促进服务机构与用户需求的高效对接；通过标准实施强化行业对编码技术应用的共识，提升跨领域协作效率。</w:t>
      </w:r>
      <w:r>
        <w:rPr>
          <w:rFonts w:hint="eastAsia" w:ascii="仿宋_GB2312" w:hAnsi="仿宋_GB2312" w:eastAsia="仿宋_GB2312" w:cs="仿宋_GB2312"/>
          <w:b/>
          <w:bCs/>
          <w:snapToGrid w:val="0"/>
          <w:color w:val="000000"/>
          <w:kern w:val="0"/>
          <w:sz w:val="32"/>
          <w:szCs w:val="32"/>
          <w:lang w:val="en-US" w:eastAsia="zh-CN" w:bidi="ar-SA"/>
        </w:rPr>
        <w:t>在技术升级与风险防控方面，</w:t>
      </w:r>
      <w:r>
        <w:rPr>
          <w:rFonts w:hint="eastAsia" w:ascii="仿宋_GB2312" w:hAnsi="仿宋_GB2312" w:eastAsia="仿宋_GB2312" w:cs="仿宋_GB2312"/>
          <w:snapToGrid w:val="0"/>
          <w:color w:val="000000"/>
          <w:kern w:val="0"/>
          <w:sz w:val="32"/>
          <w:szCs w:val="32"/>
          <w:lang w:val="en-US" w:eastAsia="zh-CN" w:bidi="ar-SA"/>
        </w:rPr>
        <w:t>引导服务机构融合物联网、大数据技术优化编码申请审核（时效≤3日）、数据维护及应急管理流程，推动物品编码服务智能化升级；为企业提供规范化服务标尺，降低因操作不规范导致的潜在风险，缩减编码业务办理时间成本30%以上，加速编码技术在供应链管理（SCM）、产品追溯等场景的深度应用。</w:t>
      </w:r>
    </w:p>
    <w:p w14:paraId="3AFF65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2、贯彻实施标准的要求和措施建议</w:t>
      </w:r>
    </w:p>
    <w:p w14:paraId="3FEF45F2">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为保证本文件的贯彻实施，主管部门可通过举办培训班、讲座等形式，进行标准宣贯，帮助相关方了解基本内容和要求，并将实施过程中出现的问题和好的改进意见反馈到起草组以便进一步修订完善。</w:t>
      </w:r>
    </w:p>
    <w:p w14:paraId="0D511E9D">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80" w:lineRule="exact"/>
        <w:ind w:left="0" w:leftChars="0" w:firstLine="672" w:firstLineChars="200"/>
        <w:jc w:val="left"/>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其他说明</w:t>
      </w:r>
    </w:p>
    <w:p w14:paraId="7F508594">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21"/>
        </w:rPr>
      </w:pPr>
      <w:r>
        <w:rPr>
          <w:rFonts w:hint="eastAsia" w:ascii="仿宋_GB2312" w:hAnsi="仿宋_GB2312" w:eastAsia="仿宋_GB2312" w:cs="仿宋_GB2312"/>
          <w:sz w:val="32"/>
          <w:szCs w:val="32"/>
          <w:lang w:val="en-US" w:eastAsia="zh-CN"/>
        </w:rPr>
        <w:t>无。</w:t>
      </w:r>
    </w:p>
    <w:p w14:paraId="1EF3BDF9">
      <w:pPr>
        <w:jc w:val="left"/>
      </w:pPr>
    </w:p>
    <w:p w14:paraId="3740F03C"/>
    <w:sectPr>
      <w:footerReference r:id="rId3" w:type="default"/>
      <w:pgSz w:w="11906" w:h="16838"/>
      <w:pgMar w:top="2098" w:right="1474" w:bottom="1984" w:left="1587" w:header="13" w:footer="13" w:gutter="0"/>
      <w:pgNumType w:fmt="decimal"/>
      <w:cols w:space="0" w:num="1"/>
      <w:docGrid w:type="lines"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A13E">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2579370</wp:posOffset>
              </wp:positionH>
              <wp:positionV relativeFrom="paragraph">
                <wp:posOffset>-628650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9D21E">
                          <w:pPr>
                            <w:pStyle w:val="2"/>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  \* MERGEFORMAT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49.5pt;height:144pt;width:144pt;mso-position-horizontal-relative:margin;mso-wrap-style:none;z-index:251659264;mso-width-relative:page;mso-height-relative:page;" filled="f" stroked="f" coordsize="21600,21600" o:gfxdata="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1Ny/WAAAACw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34F9D21E">
                    <w:pPr>
                      <w:pStyle w:val="2"/>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PAGE  \* MERGEFORMAT </w:instrText>
                    </w:r>
                    <w:r>
                      <w:rPr>
                        <w:rFonts w:hint="default" w:ascii="Times New Roman Regular" w:hAnsi="Times New Roman Regular" w:cs="Times New Roman Regular"/>
                        <w:sz w:val="24"/>
                        <w:szCs w:val="24"/>
                      </w:rPr>
                      <w:fldChar w:fldCharType="separate"/>
                    </w:r>
                    <w:r>
                      <w:rPr>
                        <w:rFonts w:hint="default" w:ascii="Times New Roman Regular" w:hAnsi="Times New Roman Regular" w:cs="Times New Roman Regular"/>
                        <w:sz w:val="24"/>
                        <w:szCs w:val="24"/>
                      </w:rPr>
                      <w:t>1</w:t>
                    </w:r>
                    <w:r>
                      <w:rPr>
                        <w:rFonts w:hint="default" w:ascii="Times New Roman Regular" w:hAnsi="Times New Roman Regular" w:cs="Times New Roman Regula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FE8FA"/>
    <w:multiLevelType w:val="singleLevel"/>
    <w:tmpl w:val="9FFFE8FA"/>
    <w:lvl w:ilvl="0" w:tentative="0">
      <w:start w:val="1"/>
      <w:numFmt w:val="decimal"/>
      <w:lvlText w:val="%1)"/>
      <w:lvlJc w:val="left"/>
      <w:pPr>
        <w:tabs>
          <w:tab w:val="left" w:pos="312"/>
        </w:tabs>
      </w:pPr>
    </w:lvl>
  </w:abstractNum>
  <w:abstractNum w:abstractNumId="1">
    <w:nsid w:val="BF63ADAB"/>
    <w:multiLevelType w:val="singleLevel"/>
    <w:tmpl w:val="BF63ADAB"/>
    <w:lvl w:ilvl="0" w:tentative="0">
      <w:start w:val="6"/>
      <w:numFmt w:val="chineseCounting"/>
      <w:suff w:val="nothing"/>
      <w:lvlText w:val="%1、"/>
      <w:lvlJc w:val="left"/>
      <w:rPr>
        <w:rFonts w:hint="eastAsia"/>
      </w:rPr>
    </w:lvl>
  </w:abstractNum>
  <w:abstractNum w:abstractNumId="2">
    <w:nsid w:val="E6FFC70F"/>
    <w:multiLevelType w:val="singleLevel"/>
    <w:tmpl w:val="E6FFC70F"/>
    <w:lvl w:ilvl="0" w:tentative="0">
      <w:start w:val="1"/>
      <w:numFmt w:val="decimal"/>
      <w:suff w:val="nothing"/>
      <w:lvlText w:val="%1、"/>
      <w:lvlJc w:val="left"/>
    </w:lvl>
  </w:abstractNum>
  <w:abstractNum w:abstractNumId="3">
    <w:nsid w:val="EABF421E"/>
    <w:multiLevelType w:val="singleLevel"/>
    <w:tmpl w:val="EABF421E"/>
    <w:lvl w:ilvl="0" w:tentative="0">
      <w:start w:val="2"/>
      <w:numFmt w:val="decimal"/>
      <w:suff w:val="nothing"/>
      <w:lvlText w:val="%1、"/>
      <w:lvlJc w:val="left"/>
    </w:lvl>
  </w:abstractNum>
  <w:abstractNum w:abstractNumId="4">
    <w:nsid w:val="FF7DE022"/>
    <w:multiLevelType w:val="singleLevel"/>
    <w:tmpl w:val="FF7DE022"/>
    <w:lvl w:ilvl="0" w:tentative="0">
      <w:start w:val="1"/>
      <w:numFmt w:val="decimal"/>
      <w:lvlText w:val="%1)"/>
      <w:lvlJc w:val="left"/>
      <w:pPr>
        <w:tabs>
          <w:tab w:val="left" w:pos="312"/>
        </w:tabs>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EAB0E"/>
    <w:rsid w:val="267EAB0E"/>
    <w:rsid w:val="38C44830"/>
    <w:rsid w:val="3E879033"/>
    <w:rsid w:val="46A055C6"/>
    <w:rsid w:val="BA5BF0A4"/>
    <w:rsid w:val="EE75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微软雅黑" w:hAnsi="微软雅黑" w:eastAsia="微软雅黑" w:cs="微软雅黑"/>
      <w:color w:val="080F17"/>
      <w:sz w:val="2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2218</Words>
  <Characters>2330</Characters>
  <Lines>0</Lines>
  <Paragraphs>0</Paragraphs>
  <TotalTime>191</TotalTime>
  <ScaleCrop>false</ScaleCrop>
  <LinksUpToDate>false</LinksUpToDate>
  <CharactersWithSpaces>2405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2025-07-02T06:27:00Z</dcterms:created>
  <dc:creator>MinMin</dc:creator>
  <cp:lastModifiedBy>cwh</cp:lastModifiedBy>
  <dcterms:modified xsi:type="dcterms:W3CDTF">2025-07-02T08:12:29Z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21A202A6B35A4396BC92E90921B40287_13</vt:lpwstr>
  </property>
  <property fmtid="{D5CDD505-2E9C-101B-9397-08002B2CF9AE}" pid="4" name="KSOTemplateDocerSaveRecord">
    <vt:lpwstr>eyJoZGlkIjoiYWIwOTI1YWI1YWE1NGJjN2ExMDBhOWJhZGVkYWM5ODUiLCJ1c2VySWQiOiIyMDQ3NjM0ODYifQ==</vt:lpwstr>
  </property>
</Properties>
</file>