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5313B">
      <w:pPr>
        <w:pStyle w:val="31"/>
        <w:framePr w:wrap="around" w:x="1380" w:y="64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富硒产品追溯指南</w:t>
      </w:r>
    </w:p>
    <w:p w14:paraId="3BD3102A">
      <w:pPr>
        <w:pStyle w:val="32"/>
        <w:framePr w:wrap="around" w:x="1380" w:y="6412"/>
        <w:pBdr>
          <w:top w:val="none" w:color="auto" w:sz="0" w:space="0"/>
          <w:left w:val="none" w:color="auto" w:sz="0" w:space="0"/>
          <w:bottom w:val="none" w:color="auto" w:sz="0" w:space="0"/>
          <w:right w:val="none" w:color="auto" w:sz="0" w:space="0"/>
        </w:pBd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Guidelines for traceability of selenium-enriched products</w:t>
      </w:r>
      <w:r>
        <w:rPr>
          <w:color w:val="000000" w:themeColor="text1"/>
          <w14:textFill>
            <w14:solidFill>
              <w14:schemeClr w14:val="tx1"/>
            </w14:solidFill>
          </w14:textFill>
        </w:rPr>
        <w:t xml:space="preserve"> </w:t>
      </w:r>
    </w:p>
    <w:p w14:paraId="4BEF5984">
      <w:pPr>
        <w:pStyle w:val="32"/>
        <w:framePr w:wrap="around" w:x="1380" w:y="6412"/>
        <w:rPr>
          <w:color w:val="000000" w:themeColor="text1"/>
          <w14:textFill>
            <w14:solidFill>
              <w14:schemeClr w14:val="tx1"/>
            </w14:solidFill>
          </w14:textFill>
        </w:rPr>
      </w:pPr>
    </w:p>
    <w:p w14:paraId="29C69DC4">
      <w:pPr>
        <w:pStyle w:val="32"/>
        <w:framePr w:wrap="around" w:x="1380" w:y="6412"/>
        <w:rPr>
          <w:rFonts w:hint="eastAsia" w:ascii="宋体" w:hAnsi="Times New Roman" w:eastAsia="宋体" w:cs="Times New Roman"/>
          <w:color w:val="000000" w:themeColor="text1"/>
          <w:sz w:val="24"/>
          <w:szCs w:val="28"/>
          <w:lang w:val="en-US" w:eastAsia="zh-CN" w:bidi="ar-SA"/>
          <w14:textFill>
            <w14:solidFill>
              <w14:schemeClr w14:val="tx1"/>
            </w14:solidFill>
          </w14:textFill>
        </w:rPr>
      </w:pPr>
      <w:r>
        <w:rPr>
          <w:rFonts w:hint="eastAsia" w:ascii="宋体" w:hAnsi="Times New Roman" w:eastAsia="宋体" w:cs="Times New Roman"/>
          <w:color w:val="000000" w:themeColor="text1"/>
          <w:sz w:val="24"/>
          <w:szCs w:val="28"/>
          <w:lang w:val="en-US" w:eastAsia="zh-CN" w:bidi="ar-SA"/>
          <w14:textFill>
            <w14:solidFill>
              <w14:schemeClr w14:val="tx1"/>
            </w14:solidFill>
          </w14:textFill>
        </w:rPr>
        <w:t>（</w:t>
      </w:r>
      <w:r>
        <w:rPr>
          <w:rFonts w:hint="eastAsia" w:ascii="宋体" w:eastAsia="宋体" w:cs="Times New Roman"/>
          <w:color w:val="000000" w:themeColor="text1"/>
          <w:sz w:val="24"/>
          <w:szCs w:val="28"/>
          <w:lang w:val="en-US" w:eastAsia="zh-CN" w:bidi="ar-SA"/>
          <w14:textFill>
            <w14:solidFill>
              <w14:schemeClr w14:val="tx1"/>
            </w14:solidFill>
          </w14:textFill>
        </w:rPr>
        <w:t>标准草案</w:t>
      </w:r>
      <w:r>
        <w:rPr>
          <w:rFonts w:hint="eastAsia" w:ascii="宋体" w:hAnsi="Times New Roman" w:eastAsia="宋体" w:cs="Times New Roman"/>
          <w:color w:val="000000" w:themeColor="text1"/>
          <w:sz w:val="24"/>
          <w:szCs w:val="28"/>
          <w:lang w:val="en-US" w:eastAsia="zh-CN" w:bidi="ar-SA"/>
          <w14:textFill>
            <w14:solidFill>
              <w14:schemeClr w14:val="tx1"/>
            </w14:solidFill>
          </w14:textFill>
        </w:rPr>
        <w:t>）</w:t>
      </w:r>
    </w:p>
    <w:p w14:paraId="503AE67E">
      <w:pPr>
        <w:pStyle w:val="36"/>
        <w:framePr w:wrap="around"/>
        <w:rPr>
          <w:color w:val="000000" w:themeColor="text1"/>
          <w14:textFill>
            <w14:solidFill>
              <w14:schemeClr w14:val="tx1"/>
            </w14:solidFill>
          </w14:textFill>
        </w:rPr>
      </w:pPr>
      <w:r>
        <w:rPr>
          <w:rFonts w:hint="eastAsia" w:ascii="黑体"/>
          <w:color w:val="000000" w:themeColor="text1"/>
          <w14:textFill>
            <w14:solidFill>
              <w14:schemeClr w14:val="tx1"/>
            </w14:solidFill>
          </w14:textFill>
        </w:rPr>
        <w:t>202</w:t>
      </w:r>
      <w:r>
        <w:rPr>
          <w:rFonts w:hint="eastAsia" w:ascii="黑体"/>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r>
        <w:rPr>
          <w:rFonts w:ascii="黑体"/>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ascii="黑体"/>
          <w:color w:val="000000" w:themeColor="text1"/>
          <w14:textFill>
            <w14:solidFill>
              <w14:schemeClr w14:val="tx1"/>
            </w14:solidFill>
          </w14:textFill>
        </w:rPr>
        <w:t>XX</w:t>
      </w:r>
      <w:r>
        <w:rPr>
          <w:color w:val="000000" w:themeColor="text1"/>
          <w14:textFill>
            <w14:solidFill>
              <w14:schemeClr w14:val="tx1"/>
            </w14:solidFill>
          </w14:textFill>
        </w:rPr>
        <w:t xml:space="preserve"> </w:t>
      </w:r>
      <w:r>
        <w:rPr>
          <w:rFonts w:ascii="黑体"/>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ascii="黑体"/>
          <w:color w:val="000000" w:themeColor="text1"/>
          <w14:textFill>
            <w14:solidFill>
              <w14:schemeClr w14:val="tx1"/>
            </w14:solidFill>
          </w14:textFill>
        </w:rPr>
        <w:t>XX</w:t>
      </w:r>
      <w:r>
        <w:rPr>
          <w:rFonts w:hint="eastAsia"/>
          <w:color w:val="000000" w:themeColor="text1"/>
          <w14:textFill>
            <w14:solidFill>
              <w14:schemeClr w14:val="tx1"/>
            </w14:solidFill>
          </w14:textFill>
        </w:rPr>
        <w:t>发布</w:t>
      </w:r>
      <w:r>
        <w:rPr>
          <w:color w:val="000000" w:themeColor="text1"/>
          <w14:textFill>
            <w14:solidFill>
              <w14:schemeClr w14:val="tx1"/>
            </w14:solidFill>
          </w14:textFill>
        </w:rPr>
        <mc:AlternateContent>
          <mc:Choice Requires="wps">
            <w:drawing>
              <wp:anchor distT="0" distB="0" distL="114300" distR="114300" simplePos="0" relativeHeight="251661312" behindDoc="0" locked="1" layoutInCell="1" allowOverlap="1">
                <wp:simplePos x="0" y="0"/>
                <wp:positionH relativeFrom="column">
                  <wp:posOffset>-635</wp:posOffset>
                </wp:positionH>
                <wp:positionV relativeFrom="page">
                  <wp:posOffset>9251950</wp:posOffset>
                </wp:positionV>
                <wp:extent cx="6120130" cy="0"/>
                <wp:effectExtent l="0" t="4445" r="0" b="5080"/>
                <wp:wrapNone/>
                <wp:docPr id="6" name="直线 22"/>
                <wp:cNvGraphicFramePr/>
                <a:graphic xmlns:a="http://schemas.openxmlformats.org/drawingml/2006/main">
                  <a:graphicData uri="http://schemas.microsoft.com/office/word/2010/wordprocessingShape">
                    <wps:wsp>
                      <wps:cNvCnPr/>
                      <wps:spPr>
                        <a:xfrm>
                          <a:off x="0" y="0"/>
                          <a:ext cx="61201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2" o:spid="_x0000_s1026" o:spt="20" style="position:absolute;left:0pt;margin-left:-0.05pt;margin-top:728.5pt;height:0pt;width:481.9pt;mso-position-vertical-relative:page;z-index:251661312;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lh2s81gAAAAsB&#10;AAAPAAAAAAAAAAEAIAAAACIAAABkcnMvZG93bnJldi54bWxQSwECFAAUAAAACACHTuJAz359D+QB&#10;AADeAwAADgAAAAAAAAABACAAAAAlAQAAZHJzL2Uyb0RvYy54bWxQSwUGAAAAAAYABgBZAQAAewUA&#10;AAAA&#10;">
                <v:fill on="f" focussize="0,0"/>
                <v:stroke color="#000000" joinstyle="round"/>
                <v:imagedata o:title=""/>
                <o:lock v:ext="edit" aspectratio="f"/>
                <w10:anchorlock/>
              </v:line>
            </w:pict>
          </mc:Fallback>
        </mc:AlternateContent>
      </w:r>
    </w:p>
    <w:p w14:paraId="63A22638">
      <w:pPr>
        <w:pStyle w:val="37"/>
        <w:framePr w:wrap="around"/>
        <w:rPr>
          <w:color w:val="000000" w:themeColor="text1"/>
          <w14:textFill>
            <w14:solidFill>
              <w14:schemeClr w14:val="tx1"/>
            </w14:solidFill>
          </w14:textFill>
        </w:rPr>
      </w:pPr>
      <w:r>
        <w:rPr>
          <w:rFonts w:hint="eastAsia" w:ascii="黑体"/>
          <w:color w:val="000000" w:themeColor="text1"/>
          <w14:textFill>
            <w14:solidFill>
              <w14:schemeClr w14:val="tx1"/>
            </w14:solidFill>
          </w14:textFill>
        </w:rPr>
        <w:t>202</w:t>
      </w:r>
      <w:r>
        <w:rPr>
          <w:rFonts w:hint="eastAsia" w:ascii="黑体"/>
          <w:color w:val="000000" w:themeColor="text1"/>
          <w:lang w:val="en-US" w:eastAsia="zh-CN"/>
          <w14:textFill>
            <w14:solidFill>
              <w14:schemeClr w14:val="tx1"/>
            </w14:solidFill>
          </w14:textFill>
        </w:rPr>
        <w:t>6</w:t>
      </w:r>
      <w:r>
        <w:rPr>
          <w:color w:val="000000" w:themeColor="text1"/>
          <w14:textFill>
            <w14:solidFill>
              <w14:schemeClr w14:val="tx1"/>
            </w14:solidFill>
          </w14:textFill>
        </w:rPr>
        <w:t xml:space="preserve"> </w:t>
      </w:r>
      <w:r>
        <w:rPr>
          <w:rFonts w:ascii="黑体"/>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ascii="黑体"/>
          <w:color w:val="000000" w:themeColor="text1"/>
          <w14:textFill>
            <w14:solidFill>
              <w14:schemeClr w14:val="tx1"/>
            </w14:solidFill>
          </w14:textFill>
        </w:rPr>
        <w:t>XX</w:t>
      </w:r>
      <w:r>
        <w:rPr>
          <w:rFonts w:ascii="黑体"/>
          <w:color w:val="000000" w:themeColor="text1"/>
          <w14:textFill>
            <w14:solidFill>
              <w14:schemeClr w14:val="tx1"/>
            </w14:solidFill>
          </w14:textFill>
        </w:rPr>
        <w:t>–</w:t>
      </w:r>
      <w:r>
        <w:rPr>
          <w:color w:val="000000" w:themeColor="text1"/>
          <w14:textFill>
            <w14:solidFill>
              <w14:schemeClr w14:val="tx1"/>
            </w14:solidFill>
          </w14:textFill>
        </w:rPr>
        <w:t xml:space="preserve"> </w:t>
      </w:r>
      <w:r>
        <w:rPr>
          <w:rFonts w:hint="eastAsia" w:ascii="黑体"/>
          <w:color w:val="000000" w:themeColor="text1"/>
          <w14:textFill>
            <w14:solidFill>
              <w14:schemeClr w14:val="tx1"/>
            </w14:solidFill>
          </w14:textFill>
        </w:rPr>
        <w:t>XX</w:t>
      </w:r>
      <w:r>
        <w:rPr>
          <w:rFonts w:hint="eastAsia"/>
          <w:color w:val="000000" w:themeColor="text1"/>
          <w14:textFill>
            <w14:solidFill>
              <w14:schemeClr w14:val="tx1"/>
            </w14:solidFill>
          </w14:textFill>
        </w:rPr>
        <w:t>实施</w:t>
      </w:r>
    </w:p>
    <w:p w14:paraId="3FFF29C4">
      <w:pPr>
        <w:pStyle w:val="38"/>
        <w:framePr w:h="901" w:hRule="exact" w:wrap="around" w:x="1777" w:y="3116"/>
        <w:rPr>
          <w:rFonts w:hint="default" w:hAnsi="黑体" w:eastAsia="黑体"/>
          <w:color w:val="000000" w:themeColor="text1"/>
          <w:lang w:val="en-US" w:eastAsia="zh-CN"/>
          <w14:textFill>
            <w14:solidFill>
              <w14:schemeClr w14:val="tx1"/>
            </w14:solidFill>
          </w14:textFill>
        </w:rPr>
      </w:pPr>
      <w:bookmarkStart w:id="0" w:name="fm"/>
      <w:r>
        <w:rPr>
          <w:rFonts w:hint="eastAsia" w:ascii="Times New Roman"/>
          <w:color w:val="000000" w:themeColor="text1"/>
          <w14:textFill>
            <w14:solidFill>
              <w14:schemeClr w14:val="tx1"/>
            </w14:solidFill>
          </w14:textFill>
        </w:rPr>
        <w:t>T/</w:t>
      </w:r>
      <w:r>
        <w:rPr>
          <w:rFonts w:hint="eastAsia" w:ascii="黑体" w:hAnsi="黑体" w:eastAsia="黑体" w:cs="黑体"/>
          <w:color w:val="000000" w:themeColor="text1"/>
          <w14:textFill>
            <w14:solidFill>
              <w14:schemeClr w14:val="tx1"/>
            </w14:solidFill>
          </w14:textFill>
        </w:rPr>
        <w:t>XXXX</w:t>
      </w:r>
      <w:r>
        <w:rPr>
          <w:rFonts w:hint="eastAsia" w:ascii="Times New Roman"/>
          <w:color w:val="000000" w:themeColor="text1"/>
          <w:lang w:val="en-US" w:eastAsia="zh-CN"/>
          <w14:textFill>
            <w14:solidFill>
              <w14:schemeClr w14:val="tx1"/>
            </w14:solidFill>
          </w14:textFill>
        </w:rPr>
        <w:t xml:space="preserve"> </w:t>
      </w:r>
      <w:r>
        <w:rPr>
          <w:rFonts w:hint="eastAsia" w:ascii="黑体" w:hAnsi="黑体" w:eastAsia="黑体" w:cs="黑体"/>
          <w:color w:val="000000" w:themeColor="text1"/>
          <w14:textFill>
            <w14:solidFill>
              <w14:schemeClr w14:val="tx1"/>
            </w14:solidFill>
          </w14:textFill>
        </w:rPr>
        <w:t>XXXX—202</w:t>
      </w:r>
      <w:r>
        <w:rPr>
          <w:rFonts w:hint="eastAsia" w:hAnsi="黑体" w:cs="黑体"/>
          <w:color w:val="000000" w:themeColor="text1"/>
          <w:lang w:val="en-US" w:eastAsia="zh-CN"/>
          <w14:textFill>
            <w14:solidFill>
              <w14:schemeClr w14:val="tx1"/>
            </w14:solidFill>
          </w14:textFill>
        </w:rPr>
        <w:t>6</w:t>
      </w:r>
    </w:p>
    <w:tbl>
      <w:tblPr>
        <w:tblStyle w:val="16"/>
        <w:tblW w:w="90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13"/>
      </w:tblGrid>
      <w:tr w14:paraId="4400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trPr>
        <w:tc>
          <w:tcPr>
            <w:tcW w:w="9013" w:type="dxa"/>
            <w:tcBorders>
              <w:top w:val="nil"/>
              <w:left w:val="nil"/>
              <w:bottom w:val="nil"/>
              <w:right w:val="nil"/>
            </w:tcBorders>
          </w:tcPr>
          <w:p w14:paraId="5FDF31BA">
            <w:pPr>
              <w:pStyle w:val="39"/>
              <w:framePr w:h="901" w:hRule="exact" w:wrap="around" w:x="1777" w:y="3116"/>
              <w:ind w:right="840"/>
              <w:jc w:val="both"/>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-31750</wp:posOffset>
                      </wp:positionH>
                      <wp:positionV relativeFrom="paragraph">
                        <wp:posOffset>121285</wp:posOffset>
                      </wp:positionV>
                      <wp:extent cx="5937250" cy="0"/>
                      <wp:effectExtent l="0" t="4445" r="0" b="5080"/>
                      <wp:wrapNone/>
                      <wp:docPr id="8"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93725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2.5pt;margin-top:9.55pt;height:0pt;width:467.5pt;z-index:251663360;mso-width-relative:page;mso-height-relative:page;" filled="f" stroked="t" coordsize="21600,21600" o:gfxdata="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ip+29UA&#10;AAAIAQAADwAAAAAAAAABACAAAAAiAAAAZHJzL2Rvd25yZXYueG1sUEsBAhQAFAAAAAgAh07iQHcv&#10;C4LpAQAAuAMAAA4AAAAAAAAAAQAgAAAAJAEAAGRycy9lMm9Eb2MueG1sUEsFBgAAAAAGAAYAWQEA&#10;AH8FAAAAAA==&#10;">
                      <v:fill on="f" focussize="0,0"/>
                      <v:stroke color="#000000" joinstyle="round"/>
                      <v:imagedata o:title=""/>
                      <o:lock v:ext="edit" aspectratio="f"/>
                    </v:line>
                  </w:pict>
                </mc:Fallback>
              </mc:AlternateContent>
            </w:r>
          </w:p>
        </w:tc>
      </w:tr>
    </w:tbl>
    <w:p w14:paraId="30D2F6AF">
      <w:pPr>
        <w:pStyle w:val="38"/>
        <w:framePr w:h="901" w:hRule="exact" w:wrap="around" w:x="1777" w:y="3116"/>
        <w:rPr>
          <w:rFonts w:hAnsi="黑体"/>
          <w:color w:val="000000" w:themeColor="text1"/>
          <w14:textFill>
            <w14:solidFill>
              <w14:schemeClr w14:val="tx1"/>
            </w14:solidFill>
          </w14:textFill>
        </w:rPr>
      </w:pPr>
    </w:p>
    <w:p w14:paraId="49D793BD">
      <w:pPr>
        <w:pStyle w:val="38"/>
        <w:framePr w:h="901" w:hRule="exact" w:wrap="around" w:x="1777" w:y="3116"/>
        <w:rPr>
          <w:rFonts w:hAnsi="黑体"/>
          <w:color w:val="000000" w:themeColor="text1"/>
          <w14:textFill>
            <w14:solidFill>
              <w14:schemeClr w14:val="tx1"/>
            </w14:solidFill>
          </w14:textFill>
        </w:rPr>
      </w:pPr>
    </w:p>
    <w:p w14:paraId="0975DBEF">
      <w:pPr>
        <w:pStyle w:val="40"/>
        <w:framePr w:wrap="around" w:x="2147" w:y="2296"/>
        <w:ind w:left="210" w:leftChars="100" w:right="210" w:rightChars="100"/>
        <w:rPr>
          <w:color w:val="000000" w:themeColor="text1"/>
          <w:sz w:val="52"/>
          <w14:textFill>
            <w14:solidFill>
              <w14:schemeClr w14:val="tx1"/>
            </w14:solidFill>
          </w14:textFill>
        </w:rPr>
      </w:pPr>
      <w:r>
        <w:rPr>
          <w:rFonts w:hint="eastAsia"/>
          <w:color w:val="000000" w:themeColor="text1"/>
          <w:sz w:val="72"/>
          <w14:textFill>
            <w14:solidFill>
              <w14:schemeClr w14:val="tx1"/>
            </w14:solidFill>
          </w14:textFill>
        </w:rPr>
        <w:t>团体标准</w:t>
      </w:r>
    </w:p>
    <w:bookmarkEnd w:id="0"/>
    <w:p w14:paraId="67B6C044">
      <w:pPr>
        <w:pStyle w:val="41"/>
        <w:framePr w:wrap="around"/>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XXXXX</w:t>
      </w:r>
      <w:r>
        <w:rPr>
          <w:rFonts w:hint="eastAsia"/>
          <w:color w:val="000000" w:themeColor="text1"/>
          <w14:textFill>
            <w14:solidFill>
              <w14:schemeClr w14:val="tx1"/>
            </w14:solidFill>
          </w14:textFill>
        </w:rPr>
        <w:t>协会</w:t>
      </w:r>
      <w:r>
        <w:rPr>
          <w:color w:val="000000" w:themeColor="text1"/>
          <w14:textFill>
            <w14:solidFill>
              <w14:schemeClr w14:val="tx1"/>
            </w14:solidFill>
          </w14:textFill>
        </w:rPr>
        <w:t>   </w:t>
      </w:r>
      <w:r>
        <w:rPr>
          <w:rStyle w:val="42"/>
          <w:rFonts w:hint="eastAsia"/>
          <w:color w:val="000000" w:themeColor="text1"/>
          <w14:textFill>
            <w14:solidFill>
              <w14:schemeClr w14:val="tx1"/>
            </w14:solidFill>
          </w14:textFill>
        </w:rPr>
        <w:t>发布</w:t>
      </w:r>
    </w:p>
    <w:p w14:paraId="375411D4">
      <w:pPr>
        <w:pStyle w:val="43"/>
        <w:framePr w:wrap="around"/>
        <w:rPr>
          <w:rFonts w:ascii="MS Gothic" w:hAnsi="MS Gothic" w:cs="MS Gothic"/>
          <w:color w:val="000000" w:themeColor="text1"/>
          <w14:textFill>
            <w14:solidFill>
              <w14:schemeClr w14:val="tx1"/>
            </w14:solidFill>
          </w14:textFill>
        </w:rPr>
      </w:pPr>
      <w:r>
        <w:rPr>
          <w:rFonts w:ascii="Times New Roman"/>
          <w:color w:val="000000" w:themeColor="text1"/>
          <w14:textFill>
            <w14:solidFill>
              <w14:schemeClr w14:val="tx1"/>
            </w14:solidFill>
          </w14:textFill>
        </w:rPr>
        <w:t>ICS</w:t>
      </w:r>
      <w:r>
        <w:rPr>
          <w:rFonts w:hint="eastAsia" w:ascii="MS Gothic" w:hAnsi="MS Gothic" w:eastAsia="MS Gothic" w:cs="MS Gothic"/>
          <w:color w:val="000000" w:themeColor="text1"/>
          <w14:textFill>
            <w14:solidFill>
              <w14:schemeClr w14:val="tx1"/>
            </w14:solidFill>
          </w14:textFill>
        </w:rPr>
        <w:t> </w:t>
      </w:r>
      <w:r>
        <w:rPr>
          <w:rFonts w:hint="eastAsia" w:hAnsi="黑体" w:cs="黑体"/>
          <w:color w:val="000000" w:themeColor="text1"/>
          <w14:textFill>
            <w14:solidFill>
              <w14:schemeClr w14:val="tx1"/>
            </w14:solidFill>
          </w14:textFill>
        </w:rPr>
        <w:t>xx.xxx.xxx</w:t>
      </w:r>
    </w:p>
    <w:p w14:paraId="50E9190A">
      <w:pPr>
        <w:pStyle w:val="43"/>
        <w:framePr w:wrap="around"/>
        <w:rPr>
          <w:color w:val="000000" w:themeColor="text1"/>
          <w14:textFill>
            <w14:solidFill>
              <w14:schemeClr w14:val="tx1"/>
            </w14:solidFill>
          </w14:textFill>
        </w:rPr>
      </w:pPr>
      <w:r>
        <w:rPr>
          <w:rFonts w:hint="eastAsia"/>
          <w:color w:val="000000" w:themeColor="text1"/>
          <w14:textFill>
            <w14:solidFill>
              <w14:schemeClr w14:val="tx1"/>
            </w14:solidFill>
          </w14:textFill>
        </w:rPr>
        <w:t>CCS</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t>xx xxx</w:t>
      </w:r>
    </w:p>
    <w:tbl>
      <w:tblPr>
        <w:tblStyle w:val="16"/>
        <w:tblW w:w="98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4"/>
      </w:tblGrid>
      <w:tr w14:paraId="3E3B6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67114339">
            <w:pPr>
              <w:pStyle w:val="43"/>
              <w:framePr w:wrap="around"/>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column">
                        <wp:posOffset>-66675</wp:posOffset>
                      </wp:positionH>
                      <wp:positionV relativeFrom="paragraph">
                        <wp:posOffset>0</wp:posOffset>
                      </wp:positionV>
                      <wp:extent cx="866775" cy="198120"/>
                      <wp:effectExtent l="0" t="0" r="9525" b="11430"/>
                      <wp:wrapNone/>
                      <wp:docPr id="4"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a:noFill/>
                              </a:ln>
                              <a:effectLst/>
                            </wps:spPr>
                            <wps:bodyPr upright="1"/>
                          </wps:wsp>
                        </a:graphicData>
                      </a:graphic>
                    </wp:anchor>
                  </w:drawing>
                </mc:Choice>
                <mc:Fallback>
                  <w:pict>
                    <v:rect id="BAH" o:spid="_x0000_s1026" o:spt="1" style="position:absolute;left:0pt;margin-left:-5.25pt;margin-top:0pt;height:15.6pt;width:68.25pt;z-index:-251652096;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Iri/s1QAAAAcBAAAP&#10;AAAAAAAAAAEAIAAAACIAAABkcnMvZG93bnJldi54bWxQSwECFAAUAAAACACHTuJALmD5mKkBAABn&#10;AwAADgAAAAAAAAABACAAAAAkAQAAZHJzL2Uyb0RvYy54bWxQSwUGAAAAAAYABgBZAQAAPwUAAAAA&#10;">
                      <v:fill on="t" focussize="0,0"/>
                      <v:stroke on="f"/>
                      <v:imagedata o:title=""/>
                      <o:lock v:ext="edit" aspectratio="f"/>
                    </v:rect>
                  </w:pict>
                </mc:Fallback>
              </mc:AlternateContent>
            </w:r>
          </w:p>
        </w:tc>
      </w:tr>
    </w:tbl>
    <w:p w14:paraId="27F5005D">
      <w:pPr>
        <w:pStyle w:val="23"/>
        <w:sectPr>
          <w:headerReference r:id="rId3" w:type="even"/>
          <w:pgSz w:w="11906" w:h="16838"/>
          <w:pgMar w:top="1440" w:right="1800" w:bottom="1440" w:left="1800" w:header="851" w:footer="992" w:gutter="0"/>
          <w:cols w:space="425" w:num="1"/>
          <w:docGrid w:type="lines" w:linePitch="312" w:charSpace="0"/>
        </w:sectPr>
      </w:pPr>
      <w:r>
        <mc:AlternateContent>
          <mc:Choice Requires="wps">
            <w:drawing>
              <wp:anchor distT="0" distB="0" distL="114300" distR="114300" simplePos="0" relativeHeight="251662336" behindDoc="1" locked="0" layoutInCell="1" allowOverlap="1">
                <wp:simplePos x="0" y="0"/>
                <wp:positionH relativeFrom="column">
                  <wp:posOffset>4733925</wp:posOffset>
                </wp:positionH>
                <wp:positionV relativeFrom="paragraph">
                  <wp:posOffset>1464945</wp:posOffset>
                </wp:positionV>
                <wp:extent cx="1143000" cy="228600"/>
                <wp:effectExtent l="0" t="0" r="0" b="0"/>
                <wp:wrapNone/>
                <wp:docPr id="7" name="矩形 4"/>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a:effectLst/>
                      </wps:spPr>
                      <wps:bodyPr rot="0" vert="horz" wrap="square" lIns="91440" tIns="45720" rIns="91440" bIns="45720" anchor="t" anchorCtr="0" upright="1">
                        <a:noAutofit/>
                      </wps:bodyPr>
                    </wps:wsp>
                  </a:graphicData>
                </a:graphic>
              </wp:anchor>
            </w:drawing>
          </mc:Choice>
          <mc:Fallback>
            <w:pict>
              <v:rect id="矩形 4" o:spid="_x0000_s1026" o:spt="1" style="position:absolute;left:0pt;margin-left:372.75pt;margin-top:115.35pt;height:18pt;width:90pt;z-index:-251654144;mso-width-relative:page;mso-height-relative:page;" fillcolor="#FFFFFF" filled="t" stroked="f" coordsize="21600,21600" o:gfxdata="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bgNv/YAAAA&#10;CwEAAA8AAAAAAAAAAQAgAAAAIgAAAGRycy9kb3ducmV2LnhtbFBLAQIUABQAAAAIAIdO4kAm07N9&#10;HQIAADQEAAAOAAAAAAAAAAEAIAAAACcBAABkcnMvZTJvRG9jLnhtbFBLBQYAAAAABgAGAFkBAAC2&#10;BQAAAAA=&#10;">
                <v:fill on="t" focussize="0,0"/>
                <v:stroke on="f"/>
                <v:imagedata o:title=""/>
                <o:lock v:ext="edit" aspectratio="f"/>
              </v:rect>
            </w:pict>
          </mc:Fallback>
        </mc:AlternateContent>
      </w:r>
    </w:p>
    <w:p w14:paraId="1A1BEA91">
      <w:pPr>
        <w:pStyle w:val="27"/>
        <w:rPr>
          <w:rFonts w:ascii="Calibri" w:hAnsi="Calibri"/>
          <w:szCs w:val="22"/>
        </w:rPr>
      </w:pPr>
      <w:bookmarkStart w:id="1" w:name="_Toc2975"/>
      <w:bookmarkStart w:id="2" w:name="_Toc23855"/>
      <w:bookmarkStart w:id="3" w:name="_Toc27326"/>
      <w:bookmarkStart w:id="4" w:name="_Toc1209"/>
      <w:bookmarkStart w:id="5" w:name="_Toc1797"/>
      <w:bookmarkStart w:id="6" w:name="_Toc27829"/>
      <w:r>
        <w:rPr>
          <w:rFonts w:hint="eastAsia"/>
        </w:rPr>
        <w:t>目</w:t>
      </w:r>
      <w:bookmarkStart w:id="7" w:name="BKML"/>
      <w:r>
        <w:rPr>
          <w:rFonts w:hAnsi="黑体"/>
        </w:rPr>
        <w:t>  </w:t>
      </w:r>
      <w:r>
        <w:rPr>
          <w:rFonts w:hint="eastAsia"/>
        </w:rPr>
        <w:t>次</w:t>
      </w:r>
      <w:bookmarkEnd w:id="1"/>
      <w:bookmarkEnd w:id="2"/>
      <w:bookmarkEnd w:id="7"/>
      <w:r>
        <w:fldChar w:fldCharType="begin" w:fldLock="1"/>
      </w:r>
      <w:r>
        <w:instrText xml:space="preserve"> TOC \h \z \t"前言、引言标题,1,参考文献、索引标题,1,章标题,1,参考文献,1,附录标识,1,一级条标题, 3,附录章标题, 3" \* MERGEFORMAT </w:instrText>
      </w:r>
      <w:r>
        <w:fldChar w:fldCharType="separate"/>
      </w:r>
      <w:bookmarkEnd w:id="3"/>
      <w:bookmarkEnd w:id="4"/>
      <w:bookmarkEnd w:id="5"/>
      <w:bookmarkEnd w:id="6"/>
    </w:p>
    <w:p w14:paraId="01BA529B">
      <w:pPr>
        <w:pStyle w:val="23"/>
      </w:pPr>
      <w:r>
        <w:fldChar w:fldCharType="end"/>
      </w:r>
    </w:p>
    <w:sdt>
      <w:sdtPr>
        <w:rPr>
          <w:rFonts w:ascii="宋体" w:hAnsi="宋体" w:eastAsia="宋体"/>
          <w:szCs w:val="22"/>
        </w:rPr>
        <w:id w:val="147474186"/>
        <w:docPartObj>
          <w:docPartGallery w:val="Table of Contents"/>
          <w:docPartUnique/>
        </w:docPartObj>
      </w:sdtPr>
      <w:sdtEndPr>
        <w:rPr>
          <w:rFonts w:ascii="宋体" w:hAnsiTheme="minorHAnsi" w:eastAsiaTheme="minorEastAsia"/>
          <w:szCs w:val="22"/>
        </w:rPr>
      </w:sdtEndPr>
      <w:sdtContent>
        <w:p w14:paraId="43EB861A">
          <w:pPr>
            <w:jc w:val="center"/>
          </w:pPr>
        </w:p>
        <w:p w14:paraId="30264274">
          <w:pPr>
            <w:pStyle w:val="13"/>
            <w:tabs>
              <w:tab w:val="right" w:leader="dot" w:pos="8306"/>
              <w:tab w:val="clear" w:pos="9241"/>
            </w:tabs>
          </w:pPr>
          <w:r>
            <w:fldChar w:fldCharType="begin"/>
          </w:r>
          <w:r>
            <w:instrText xml:space="preserve">TOC \o "1-1" \h \u </w:instrText>
          </w:r>
          <w:r>
            <w:fldChar w:fldCharType="separate"/>
          </w:r>
          <w:r>
            <w:fldChar w:fldCharType="begin"/>
          </w:r>
          <w:r>
            <w:instrText xml:space="preserve"> HYPERLINK \l _Toc29815 </w:instrText>
          </w:r>
          <w:r>
            <w:fldChar w:fldCharType="separate"/>
          </w:r>
          <w:r>
            <w:rPr>
              <w:rFonts w:hint="eastAsia" w:hAnsi="黑体" w:cs="黑体"/>
            </w:rPr>
            <w:t>前言</w:t>
          </w:r>
          <w:r>
            <w:tab/>
          </w:r>
          <w:r>
            <w:fldChar w:fldCharType="begin"/>
          </w:r>
          <w:r>
            <w:instrText xml:space="preserve"> PAGEREF _Toc29815 \h </w:instrText>
          </w:r>
          <w:r>
            <w:fldChar w:fldCharType="separate"/>
          </w:r>
          <w:r>
            <w:t>II</w:t>
          </w:r>
          <w:r>
            <w:fldChar w:fldCharType="end"/>
          </w:r>
          <w:r>
            <w:fldChar w:fldCharType="end"/>
          </w:r>
        </w:p>
        <w:p w14:paraId="514C4E29">
          <w:pPr>
            <w:pStyle w:val="13"/>
            <w:tabs>
              <w:tab w:val="right" w:leader="dot" w:pos="8306"/>
              <w:tab w:val="clear" w:pos="9241"/>
            </w:tabs>
          </w:pPr>
          <w:r>
            <w:fldChar w:fldCharType="begin"/>
          </w:r>
          <w:r>
            <w:instrText xml:space="preserve"> HYPERLINK \l _Toc6272 </w:instrText>
          </w:r>
          <w:r>
            <w:fldChar w:fldCharType="separate"/>
          </w:r>
          <w:r>
            <w:rPr>
              <w:rFonts w:hint="eastAsia" w:hAnsi="黑体" w:cs="黑体"/>
              <w:lang w:val="en-US" w:eastAsia="zh-CN"/>
            </w:rPr>
            <w:t>引</w:t>
          </w:r>
          <w:r>
            <w:rPr>
              <w:rFonts w:hint="eastAsia" w:hAnsi="黑体" w:cs="黑体"/>
            </w:rPr>
            <w:t>言</w:t>
          </w:r>
          <w:r>
            <w:tab/>
          </w:r>
          <w:r>
            <w:fldChar w:fldCharType="begin"/>
          </w:r>
          <w:r>
            <w:instrText xml:space="preserve"> PAGEREF _Toc6272 \h </w:instrText>
          </w:r>
          <w:r>
            <w:fldChar w:fldCharType="separate"/>
          </w:r>
          <w:r>
            <w:t>III</w:t>
          </w:r>
          <w:r>
            <w:fldChar w:fldCharType="end"/>
          </w:r>
          <w:r>
            <w:fldChar w:fldCharType="end"/>
          </w:r>
        </w:p>
        <w:p w14:paraId="749C4F48">
          <w:pPr>
            <w:pStyle w:val="13"/>
            <w:tabs>
              <w:tab w:val="right" w:leader="dot" w:pos="8306"/>
              <w:tab w:val="clear" w:pos="9241"/>
            </w:tabs>
          </w:pPr>
          <w:r>
            <w:fldChar w:fldCharType="begin"/>
          </w:r>
          <w:r>
            <w:instrText xml:space="preserve"> HYPERLINK \l _Toc11497 </w:instrText>
          </w:r>
          <w:r>
            <w:fldChar w:fldCharType="separate"/>
          </w:r>
          <w:r>
            <w:rPr>
              <w:rFonts w:hint="eastAsia" w:ascii="黑体" w:hAnsi="Times New Roman" w:eastAsia="黑体" w:cs="Times New Roman"/>
              <w:i w:val="0"/>
            </w:rPr>
            <w:t xml:space="preserve">1 </w:t>
          </w:r>
          <w:r>
            <w:rPr>
              <w:rFonts w:hint="eastAsia" w:hAnsi="Times New Roman" w:cs="Times New Roman"/>
              <w:highlight w:val="none"/>
            </w:rPr>
            <w:t>范围</w:t>
          </w:r>
          <w:r>
            <w:tab/>
          </w:r>
          <w:r>
            <w:fldChar w:fldCharType="begin"/>
          </w:r>
          <w:r>
            <w:instrText xml:space="preserve"> PAGEREF _Toc11497 \h </w:instrText>
          </w:r>
          <w:r>
            <w:fldChar w:fldCharType="separate"/>
          </w:r>
          <w:r>
            <w:t>1</w:t>
          </w:r>
          <w:r>
            <w:fldChar w:fldCharType="end"/>
          </w:r>
          <w:r>
            <w:fldChar w:fldCharType="end"/>
          </w:r>
        </w:p>
        <w:p w14:paraId="6A491CF0">
          <w:pPr>
            <w:pStyle w:val="13"/>
            <w:tabs>
              <w:tab w:val="right" w:leader="dot" w:pos="8306"/>
              <w:tab w:val="clear" w:pos="9241"/>
            </w:tabs>
          </w:pPr>
          <w:r>
            <w:fldChar w:fldCharType="begin"/>
          </w:r>
          <w:r>
            <w:instrText xml:space="preserve"> HYPERLINK \l _Toc27318 </w:instrText>
          </w:r>
          <w:r>
            <w:fldChar w:fldCharType="separate"/>
          </w:r>
          <w:r>
            <w:rPr>
              <w:rFonts w:hint="eastAsia" w:ascii="黑体" w:hAnsi="Times New Roman" w:eastAsia="黑体" w:cs="Times New Roman"/>
              <w:i w:val="0"/>
            </w:rPr>
            <w:t xml:space="preserve">2 </w:t>
          </w:r>
          <w:r>
            <w:rPr>
              <w:rFonts w:hint="eastAsia" w:hAnsi="Times New Roman" w:cs="Times New Roman"/>
              <w:highlight w:val="none"/>
            </w:rPr>
            <w:t>规范性引用文件</w:t>
          </w:r>
          <w:r>
            <w:tab/>
          </w:r>
          <w:r>
            <w:fldChar w:fldCharType="begin"/>
          </w:r>
          <w:r>
            <w:instrText xml:space="preserve"> PAGEREF _Toc27318 \h </w:instrText>
          </w:r>
          <w:r>
            <w:fldChar w:fldCharType="separate"/>
          </w:r>
          <w:r>
            <w:t>1</w:t>
          </w:r>
          <w:r>
            <w:fldChar w:fldCharType="end"/>
          </w:r>
          <w:r>
            <w:fldChar w:fldCharType="end"/>
          </w:r>
        </w:p>
        <w:p w14:paraId="5C639018">
          <w:pPr>
            <w:pStyle w:val="13"/>
            <w:tabs>
              <w:tab w:val="right" w:leader="dot" w:pos="8306"/>
              <w:tab w:val="clear" w:pos="9241"/>
            </w:tabs>
          </w:pPr>
          <w:r>
            <w:fldChar w:fldCharType="begin"/>
          </w:r>
          <w:r>
            <w:instrText xml:space="preserve"> HYPERLINK \l _Toc22381 </w:instrText>
          </w:r>
          <w:r>
            <w:fldChar w:fldCharType="separate"/>
          </w:r>
          <w:r>
            <w:rPr>
              <w:rFonts w:hint="eastAsia" w:ascii="黑体" w:hAnsi="Times New Roman" w:eastAsia="黑体" w:cs="Times New Roman"/>
              <w:i w:val="0"/>
            </w:rPr>
            <w:t xml:space="preserve">3 </w:t>
          </w:r>
          <w:r>
            <w:rPr>
              <w:rFonts w:hint="eastAsia" w:hAnsi="Times New Roman" w:cs="Times New Roman"/>
              <w:highlight w:val="none"/>
            </w:rPr>
            <w:t>术语和定义</w:t>
          </w:r>
          <w:r>
            <w:tab/>
          </w:r>
          <w:r>
            <w:fldChar w:fldCharType="begin"/>
          </w:r>
          <w:r>
            <w:instrText xml:space="preserve"> PAGEREF _Toc22381 \h </w:instrText>
          </w:r>
          <w:r>
            <w:fldChar w:fldCharType="separate"/>
          </w:r>
          <w:r>
            <w:t>1</w:t>
          </w:r>
          <w:r>
            <w:fldChar w:fldCharType="end"/>
          </w:r>
          <w:r>
            <w:fldChar w:fldCharType="end"/>
          </w:r>
        </w:p>
        <w:p w14:paraId="77647987">
          <w:pPr>
            <w:pStyle w:val="13"/>
            <w:tabs>
              <w:tab w:val="right" w:leader="dot" w:pos="8306"/>
              <w:tab w:val="clear" w:pos="9241"/>
            </w:tabs>
          </w:pPr>
          <w:r>
            <w:fldChar w:fldCharType="begin"/>
          </w:r>
          <w:r>
            <w:instrText xml:space="preserve"> HYPERLINK \l _Toc21920 </w:instrText>
          </w:r>
          <w:r>
            <w:fldChar w:fldCharType="separate"/>
          </w:r>
          <w:r>
            <w:rPr>
              <w:rFonts w:hint="eastAsia" w:ascii="黑体" w:hAnsi="Times New Roman" w:eastAsia="黑体" w:cs="Times New Roman"/>
              <w:i w:val="0"/>
            </w:rPr>
            <w:t xml:space="preserve">4 </w:t>
          </w:r>
          <w:r>
            <w:rPr>
              <w:rFonts w:hint="eastAsia" w:hAnsi="Times New Roman" w:cs="Times New Roman"/>
              <w:highlight w:val="none"/>
            </w:rPr>
            <w:t>总则</w:t>
          </w:r>
          <w:r>
            <w:tab/>
          </w:r>
          <w:r>
            <w:fldChar w:fldCharType="begin"/>
          </w:r>
          <w:r>
            <w:instrText xml:space="preserve"> PAGEREF _Toc21920 \h </w:instrText>
          </w:r>
          <w:r>
            <w:fldChar w:fldCharType="separate"/>
          </w:r>
          <w:r>
            <w:t>1</w:t>
          </w:r>
          <w:r>
            <w:fldChar w:fldCharType="end"/>
          </w:r>
          <w:r>
            <w:fldChar w:fldCharType="end"/>
          </w:r>
        </w:p>
        <w:p w14:paraId="15019F3A">
          <w:pPr>
            <w:pStyle w:val="13"/>
            <w:tabs>
              <w:tab w:val="right" w:leader="dot" w:pos="8306"/>
              <w:tab w:val="clear" w:pos="9241"/>
            </w:tabs>
          </w:pPr>
          <w:r>
            <w:fldChar w:fldCharType="begin"/>
          </w:r>
          <w:r>
            <w:instrText xml:space="preserve"> HYPERLINK \l _Toc10739 </w:instrText>
          </w:r>
          <w:r>
            <w:fldChar w:fldCharType="separate"/>
          </w:r>
          <w:r>
            <w:rPr>
              <w:rFonts w:hint="eastAsia" w:ascii="黑体" w:hAnsi="Times New Roman" w:eastAsia="黑体" w:cs="Times New Roman"/>
              <w:i w:val="0"/>
            </w:rPr>
            <w:t xml:space="preserve">5 </w:t>
          </w:r>
          <w:r>
            <w:rPr>
              <w:rFonts w:hint="eastAsia" w:hAnsi="Times New Roman" w:cs="Times New Roman"/>
              <w:highlight w:val="none"/>
            </w:rPr>
            <w:t>追溯体系构建</w:t>
          </w:r>
          <w:r>
            <w:tab/>
          </w:r>
          <w:r>
            <w:fldChar w:fldCharType="begin"/>
          </w:r>
          <w:r>
            <w:instrText xml:space="preserve"> PAGEREF _Toc10739 \h </w:instrText>
          </w:r>
          <w:r>
            <w:fldChar w:fldCharType="separate"/>
          </w:r>
          <w:r>
            <w:t>2</w:t>
          </w:r>
          <w:r>
            <w:fldChar w:fldCharType="end"/>
          </w:r>
          <w:r>
            <w:fldChar w:fldCharType="end"/>
          </w:r>
        </w:p>
        <w:p w14:paraId="3E18696C">
          <w:pPr>
            <w:pStyle w:val="13"/>
            <w:tabs>
              <w:tab w:val="right" w:leader="dot" w:pos="8306"/>
              <w:tab w:val="clear" w:pos="9241"/>
            </w:tabs>
          </w:pPr>
          <w:r>
            <w:fldChar w:fldCharType="begin"/>
          </w:r>
          <w:r>
            <w:instrText xml:space="preserve"> HYPERLINK \l _Toc11362 </w:instrText>
          </w:r>
          <w:r>
            <w:fldChar w:fldCharType="separate"/>
          </w:r>
          <w:r>
            <w:rPr>
              <w:rFonts w:hint="eastAsia" w:ascii="黑体" w:hAnsi="Times New Roman" w:eastAsia="黑体" w:cs="Times New Roman"/>
              <w:i w:val="0"/>
            </w:rPr>
            <w:t xml:space="preserve">6 </w:t>
          </w:r>
          <w:r>
            <w:rPr>
              <w:rFonts w:hint="eastAsia" w:hAnsi="Times New Roman" w:cs="Times New Roman"/>
              <w:highlight w:val="none"/>
            </w:rPr>
            <w:t>追溯编码</w:t>
          </w:r>
          <w:r>
            <w:tab/>
          </w:r>
          <w:r>
            <w:fldChar w:fldCharType="begin"/>
          </w:r>
          <w:r>
            <w:instrText xml:space="preserve"> PAGEREF _Toc11362 \h </w:instrText>
          </w:r>
          <w:r>
            <w:fldChar w:fldCharType="separate"/>
          </w:r>
          <w:r>
            <w:t>3</w:t>
          </w:r>
          <w:r>
            <w:fldChar w:fldCharType="end"/>
          </w:r>
          <w:r>
            <w:fldChar w:fldCharType="end"/>
          </w:r>
        </w:p>
        <w:p w14:paraId="5603BFC5">
          <w:pPr>
            <w:pStyle w:val="13"/>
            <w:tabs>
              <w:tab w:val="right" w:leader="dot" w:pos="8306"/>
              <w:tab w:val="clear" w:pos="9241"/>
            </w:tabs>
          </w:pPr>
          <w:r>
            <w:fldChar w:fldCharType="begin"/>
          </w:r>
          <w:r>
            <w:instrText xml:space="preserve"> HYPERLINK \l _Toc8782 </w:instrText>
          </w:r>
          <w:r>
            <w:fldChar w:fldCharType="separate"/>
          </w:r>
          <w:r>
            <w:rPr>
              <w:rFonts w:hint="eastAsia" w:ascii="黑体" w:hAnsi="Times New Roman" w:eastAsia="黑体" w:cs="Times New Roman"/>
              <w:i w:val="0"/>
            </w:rPr>
            <w:t xml:space="preserve">7 </w:t>
          </w:r>
          <w:r>
            <w:rPr>
              <w:rFonts w:hint="eastAsia" w:hAnsi="Times New Roman" w:cs="Times New Roman"/>
              <w:highlight w:val="none"/>
            </w:rPr>
            <w:t>追溯信息</w:t>
          </w:r>
          <w:r>
            <w:tab/>
          </w:r>
          <w:r>
            <w:fldChar w:fldCharType="begin"/>
          </w:r>
          <w:r>
            <w:instrText xml:space="preserve"> PAGEREF _Toc8782 \h </w:instrText>
          </w:r>
          <w:r>
            <w:fldChar w:fldCharType="separate"/>
          </w:r>
          <w:r>
            <w:t>4</w:t>
          </w:r>
          <w:r>
            <w:fldChar w:fldCharType="end"/>
          </w:r>
          <w:r>
            <w:fldChar w:fldCharType="end"/>
          </w:r>
        </w:p>
        <w:p w14:paraId="354477A1">
          <w:pPr>
            <w:pStyle w:val="13"/>
            <w:tabs>
              <w:tab w:val="right" w:leader="dot" w:pos="8306"/>
              <w:tab w:val="clear" w:pos="9241"/>
            </w:tabs>
          </w:pPr>
          <w:r>
            <w:fldChar w:fldCharType="begin"/>
          </w:r>
          <w:r>
            <w:instrText xml:space="preserve"> HYPERLINK \l _Toc5780 </w:instrText>
          </w:r>
          <w:r>
            <w:fldChar w:fldCharType="separate"/>
          </w:r>
          <w:r>
            <w:rPr>
              <w:rFonts w:hint="eastAsia" w:ascii="黑体" w:hAnsi="Times New Roman" w:eastAsia="黑体" w:cs="Times New Roman"/>
              <w:i w:val="0"/>
            </w:rPr>
            <w:t xml:space="preserve">8 </w:t>
          </w:r>
          <w:r>
            <w:rPr>
              <w:rFonts w:hint="eastAsia" w:hAnsi="Times New Roman" w:cs="Times New Roman"/>
              <w:highlight w:val="none"/>
            </w:rPr>
            <w:t>追溯标识</w:t>
          </w:r>
          <w:r>
            <w:tab/>
          </w:r>
          <w:r>
            <w:fldChar w:fldCharType="begin"/>
          </w:r>
          <w:r>
            <w:instrText xml:space="preserve"> PAGEREF _Toc5780 \h </w:instrText>
          </w:r>
          <w:r>
            <w:fldChar w:fldCharType="separate"/>
          </w:r>
          <w:r>
            <w:t>7</w:t>
          </w:r>
          <w:r>
            <w:fldChar w:fldCharType="end"/>
          </w:r>
          <w:r>
            <w:fldChar w:fldCharType="end"/>
          </w:r>
        </w:p>
        <w:p w14:paraId="35C2DDF1">
          <w:pPr>
            <w:pStyle w:val="13"/>
            <w:tabs>
              <w:tab w:val="right" w:leader="dot" w:pos="8306"/>
              <w:tab w:val="clear" w:pos="9241"/>
            </w:tabs>
          </w:pPr>
          <w:r>
            <w:fldChar w:fldCharType="begin"/>
          </w:r>
          <w:r>
            <w:instrText xml:space="preserve"> HYPERLINK \l _Toc3734 </w:instrText>
          </w:r>
          <w:r>
            <w:fldChar w:fldCharType="separate"/>
          </w:r>
          <w:r>
            <w:rPr>
              <w:rFonts w:hint="eastAsia" w:ascii="黑体" w:hAnsi="Times New Roman" w:eastAsia="黑体" w:cs="Times New Roman"/>
              <w:i w:val="0"/>
            </w:rPr>
            <w:t xml:space="preserve">9 </w:t>
          </w:r>
          <w:r>
            <w:rPr>
              <w:rFonts w:hint="eastAsia" w:hAnsi="Times New Roman" w:cs="Times New Roman"/>
              <w:highlight w:val="none"/>
            </w:rPr>
            <w:t>追溯管理</w:t>
          </w:r>
          <w:r>
            <w:tab/>
          </w:r>
          <w:r>
            <w:fldChar w:fldCharType="begin"/>
          </w:r>
          <w:r>
            <w:instrText xml:space="preserve"> PAGEREF _Toc3734 \h </w:instrText>
          </w:r>
          <w:r>
            <w:fldChar w:fldCharType="separate"/>
          </w:r>
          <w:r>
            <w:t>7</w:t>
          </w:r>
          <w:r>
            <w:fldChar w:fldCharType="end"/>
          </w:r>
          <w:r>
            <w:fldChar w:fldCharType="end"/>
          </w:r>
        </w:p>
        <w:p w14:paraId="41E6C830">
          <w:pPr>
            <w:pStyle w:val="13"/>
            <w:tabs>
              <w:tab w:val="right" w:leader="dot" w:pos="8306"/>
              <w:tab w:val="clear" w:pos="9241"/>
            </w:tabs>
          </w:pPr>
          <w:r>
            <w:fldChar w:fldCharType="begin"/>
          </w:r>
          <w:r>
            <w:instrText xml:space="preserve"> HYPERLINK \l _Toc25408 </w:instrText>
          </w:r>
          <w:r>
            <w:fldChar w:fldCharType="separate"/>
          </w:r>
          <w:r>
            <w:rPr>
              <w:rFonts w:hint="eastAsia" w:ascii="黑体" w:hAnsi="Times New Roman" w:eastAsia="黑体" w:cs="Times New Roman"/>
              <w:i w:val="0"/>
            </w:rPr>
            <w:t xml:space="preserve">10 </w:t>
          </w:r>
          <w:r>
            <w:rPr>
              <w:rFonts w:hint="eastAsia" w:hAnsi="Times New Roman" w:cs="Times New Roman"/>
              <w:highlight w:val="none"/>
            </w:rPr>
            <w:t>追溯信息技术</w:t>
          </w:r>
          <w:r>
            <w:tab/>
          </w:r>
          <w:r>
            <w:fldChar w:fldCharType="begin"/>
          </w:r>
          <w:r>
            <w:instrText xml:space="preserve"> PAGEREF _Toc25408 \h </w:instrText>
          </w:r>
          <w:r>
            <w:fldChar w:fldCharType="separate"/>
          </w:r>
          <w:r>
            <w:t>8</w:t>
          </w:r>
          <w:r>
            <w:fldChar w:fldCharType="end"/>
          </w:r>
          <w:r>
            <w:fldChar w:fldCharType="end"/>
          </w:r>
        </w:p>
        <w:p w14:paraId="364E6ECB">
          <w:pPr>
            <w:pStyle w:val="13"/>
            <w:tabs>
              <w:tab w:val="right" w:leader="dot" w:pos="8306"/>
              <w:tab w:val="clear" w:pos="9241"/>
            </w:tabs>
          </w:pPr>
          <w:r>
            <w:fldChar w:fldCharType="begin"/>
          </w:r>
          <w:r>
            <w:instrText xml:space="preserve"> HYPERLINK \l _Toc15776 </w:instrText>
          </w:r>
          <w:r>
            <w:fldChar w:fldCharType="separate"/>
          </w:r>
          <w:r>
            <w:rPr>
              <w:rFonts w:hint="eastAsia" w:ascii="黑体" w:hAnsi="Times New Roman" w:eastAsia="黑体" w:cs="Times New Roman"/>
              <w:i w:val="0"/>
            </w:rPr>
            <w:t xml:space="preserve">11 </w:t>
          </w:r>
          <w:r>
            <w:rPr>
              <w:rFonts w:hint="eastAsia" w:hAnsi="Times New Roman" w:cs="Times New Roman"/>
              <w:highlight w:val="none"/>
            </w:rPr>
            <w:t>追溯评价</w:t>
          </w:r>
          <w:r>
            <w:tab/>
          </w:r>
          <w:r>
            <w:fldChar w:fldCharType="begin"/>
          </w:r>
          <w:r>
            <w:instrText xml:space="preserve"> PAGEREF _Toc15776 \h </w:instrText>
          </w:r>
          <w:r>
            <w:fldChar w:fldCharType="separate"/>
          </w:r>
          <w:r>
            <w:t>9</w:t>
          </w:r>
          <w:r>
            <w:fldChar w:fldCharType="end"/>
          </w:r>
          <w:r>
            <w:fldChar w:fldCharType="end"/>
          </w:r>
        </w:p>
        <w:p w14:paraId="17D5F6EE">
          <w:pPr>
            <w:pStyle w:val="13"/>
            <w:tabs>
              <w:tab w:val="right" w:leader="dot" w:pos="8306"/>
              <w:tab w:val="clear" w:pos="9241"/>
            </w:tabs>
          </w:pPr>
          <w:r>
            <w:fldChar w:fldCharType="begin"/>
          </w:r>
          <w:r>
            <w:instrText xml:space="preserve"> HYPERLINK \l _Toc14871 </w:instrText>
          </w:r>
          <w:r>
            <w:fldChar w:fldCharType="separate"/>
          </w:r>
          <w:r>
            <w:rPr>
              <w:rFonts w:hint="eastAsia"/>
              <w:highlight w:val="none"/>
            </w:rPr>
            <w:t>参考文献</w:t>
          </w:r>
          <w:r>
            <w:tab/>
          </w:r>
          <w:r>
            <w:fldChar w:fldCharType="begin"/>
          </w:r>
          <w:r>
            <w:instrText xml:space="preserve"> PAGEREF _Toc14871 \h </w:instrText>
          </w:r>
          <w:r>
            <w:fldChar w:fldCharType="separate"/>
          </w:r>
          <w:r>
            <w:t>13</w:t>
          </w:r>
          <w:r>
            <w:fldChar w:fldCharType="end"/>
          </w:r>
          <w:r>
            <w:fldChar w:fldCharType="end"/>
          </w:r>
        </w:p>
        <w:p w14:paraId="71DC25C5">
          <w:pPr>
            <w:pStyle w:val="13"/>
            <w:tabs>
              <w:tab w:val="right" w:leader="dot" w:pos="8306"/>
              <w:tab w:val="clear" w:pos="9241"/>
            </w:tabs>
          </w:pPr>
        </w:p>
        <w:p w14:paraId="26E81F05">
          <w:pPr>
            <w:pStyle w:val="23"/>
            <w:ind w:left="0" w:leftChars="0" w:firstLine="0" w:firstLineChars="0"/>
            <w:rPr>
              <w:rFonts w:ascii="宋体" w:hAnsiTheme="minorHAnsi" w:eastAsiaTheme="minorEastAsia"/>
              <w:szCs w:val="22"/>
            </w:rPr>
          </w:pPr>
          <w:r>
            <w:fldChar w:fldCharType="end"/>
          </w:r>
        </w:p>
      </w:sdtContent>
    </w:sdt>
    <w:p w14:paraId="6E06BE9B">
      <w:pPr>
        <w:bidi w:val="0"/>
      </w:pPr>
    </w:p>
    <w:p w14:paraId="2BE36BF0">
      <w:pPr>
        <w:bidi w:val="0"/>
      </w:pPr>
    </w:p>
    <w:p w14:paraId="05A95135">
      <w:pPr>
        <w:bidi w:val="0"/>
      </w:pPr>
    </w:p>
    <w:p w14:paraId="5EC5036C">
      <w:pPr>
        <w:bidi w:val="0"/>
      </w:pPr>
    </w:p>
    <w:p w14:paraId="3180523A">
      <w:pPr>
        <w:bidi w:val="0"/>
        <w:jc w:val="right"/>
      </w:pPr>
    </w:p>
    <w:p w14:paraId="495BDE86">
      <w:pPr>
        <w:pStyle w:val="28"/>
        <w:rPr>
          <w:color w:val="000000" w:themeColor="text1"/>
          <w14:textFill>
            <w14:solidFill>
              <w14:schemeClr w14:val="tx1"/>
            </w14:solidFill>
          </w14:textFill>
        </w:rPr>
      </w:pPr>
      <w:bookmarkStart w:id="8" w:name="_Toc29815"/>
      <w:bookmarkStart w:id="9" w:name="_Toc14460"/>
      <w:bookmarkStart w:id="10" w:name="_Toc25178"/>
      <w:r>
        <w:rPr>
          <w:rFonts w:hint="eastAsia" w:hAnsi="黑体" w:cs="黑体"/>
          <w:color w:val="000000" w:themeColor="text1"/>
          <w14:textFill>
            <w14:solidFill>
              <w14:schemeClr w14:val="tx1"/>
            </w14:solidFill>
          </w14:textFill>
        </w:rPr>
        <w:t>前</w:t>
      </w:r>
      <w:bookmarkStart w:id="11" w:name="BKQY"/>
      <w:r>
        <w:rPr>
          <w:rFonts w:hint="eastAsia" w:hAnsi="黑体" w:cs="黑体"/>
          <w:color w:val="000000" w:themeColor="text1"/>
          <w14:textFill>
            <w14:solidFill>
              <w14:schemeClr w14:val="tx1"/>
            </w14:solidFill>
          </w14:textFill>
        </w:rPr>
        <w:t>  言</w:t>
      </w:r>
      <w:bookmarkEnd w:id="8"/>
      <w:bookmarkEnd w:id="9"/>
      <w:bookmarkEnd w:id="10"/>
      <w:bookmarkEnd w:id="11"/>
      <w:r>
        <w:rPr>
          <w:color w:val="000000" w:themeColor="text1"/>
          <w14:textFill>
            <w14:solidFill>
              <w14:schemeClr w14:val="tx1"/>
            </w14:solidFill>
          </w14:textFill>
        </w:rPr>
        <w:tab/>
      </w:r>
    </w:p>
    <w:p w14:paraId="363BEB0C">
      <w:pPr>
        <w:pStyle w:val="23"/>
      </w:pPr>
      <w:r>
        <w:rPr>
          <w:rFonts w:hint="eastAsia"/>
        </w:rPr>
        <w:t>本文件按照GB/T 1.1—2020《标准化工作导则 第1部分：标准化文件的结构和起草规则》的规定起草。</w:t>
      </w:r>
    </w:p>
    <w:p w14:paraId="20B11512">
      <w:pPr>
        <w:pStyle w:val="23"/>
        <w:rPr>
          <w:rFonts w:hint="eastAsia"/>
          <w:lang w:val="en-US" w:eastAsia="zh-CN"/>
        </w:rPr>
      </w:pPr>
      <w:r>
        <w:rPr>
          <w:rFonts w:hint="eastAsia"/>
        </w:rPr>
        <w:t>本文件由</w:t>
      </w:r>
      <w:r>
        <w:rPr>
          <w:rFonts w:hint="eastAsia"/>
          <w:lang w:val="en-US" w:eastAsia="zh-CN"/>
        </w:rPr>
        <w:t>XXXX提出。</w:t>
      </w:r>
    </w:p>
    <w:p w14:paraId="1AE528C4">
      <w:pPr>
        <w:pStyle w:val="23"/>
        <w:rPr>
          <w:rFonts w:asciiTheme="minorHAnsi"/>
          <w:szCs w:val="24"/>
        </w:rPr>
      </w:pPr>
      <w:r>
        <w:rPr>
          <w:rFonts w:hint="eastAsia"/>
          <w:lang w:val="en-US" w:eastAsia="zh-CN"/>
        </w:rPr>
        <w:t>本文件由XXXX</w:t>
      </w:r>
      <w:r>
        <w:rPr>
          <w:rFonts w:hint="eastAsia"/>
        </w:rPr>
        <w:t>协会归口。</w:t>
      </w:r>
    </w:p>
    <w:p w14:paraId="64866222">
      <w:pPr>
        <w:widowControl/>
        <w:ind w:firstLine="420" w:firstLineChars="200"/>
        <w:jc w:val="left"/>
      </w:pPr>
      <w:r>
        <w:rPr>
          <w:rFonts w:hint="eastAsia"/>
        </w:rPr>
        <w:t>本文件起草单位：</w:t>
      </w:r>
      <w:r>
        <w:rPr>
          <w:rFonts w:hint="eastAsia"/>
          <w:lang w:val="en-US" w:eastAsia="zh-CN"/>
        </w:rPr>
        <w:t>XXXX</w:t>
      </w:r>
      <w:r>
        <w:rPr>
          <w:rFonts w:hint="eastAsia"/>
        </w:rPr>
        <w:t>。</w:t>
      </w:r>
    </w:p>
    <w:p w14:paraId="28F1D5E5">
      <w:pPr>
        <w:pStyle w:val="23"/>
      </w:pPr>
      <w:r>
        <w:rPr>
          <w:rFonts w:hint="eastAsia"/>
        </w:rPr>
        <w:t>本文件主要起草人：</w:t>
      </w:r>
      <w:r>
        <w:rPr>
          <w:rFonts w:hint="eastAsia"/>
          <w:lang w:val="en-US" w:eastAsia="zh-CN"/>
        </w:rPr>
        <w:t>XXXX</w:t>
      </w:r>
      <w:r>
        <w:rPr>
          <w:rFonts w:hint="eastAsia"/>
        </w:rPr>
        <w:t>。</w:t>
      </w:r>
    </w:p>
    <w:p w14:paraId="5B7AE861">
      <w:pPr>
        <w:pStyle w:val="23"/>
      </w:pPr>
    </w:p>
    <w:p w14:paraId="568ACF64">
      <w:pPr>
        <w:pStyle w:val="23"/>
      </w:pPr>
    </w:p>
    <w:p w14:paraId="43DEE819">
      <w:pPr>
        <w:pStyle w:val="23"/>
      </w:pPr>
    </w:p>
    <w:p w14:paraId="7ACCDEE4">
      <w:pPr>
        <w:pStyle w:val="23"/>
      </w:pPr>
    </w:p>
    <w:p w14:paraId="6227FC31">
      <w:pPr>
        <w:pStyle w:val="23"/>
      </w:pPr>
    </w:p>
    <w:p w14:paraId="411B718C">
      <w:pPr>
        <w:pStyle w:val="23"/>
      </w:pPr>
    </w:p>
    <w:p w14:paraId="3B8F2155">
      <w:pPr>
        <w:pStyle w:val="23"/>
      </w:pPr>
    </w:p>
    <w:p w14:paraId="3601FC44">
      <w:pPr>
        <w:pStyle w:val="23"/>
      </w:pPr>
    </w:p>
    <w:p w14:paraId="007118C3">
      <w:pPr>
        <w:pStyle w:val="23"/>
      </w:pPr>
    </w:p>
    <w:p w14:paraId="3342C5C1">
      <w:pPr>
        <w:pStyle w:val="23"/>
      </w:pPr>
    </w:p>
    <w:p w14:paraId="0DE0B833">
      <w:pPr>
        <w:pStyle w:val="23"/>
      </w:pPr>
    </w:p>
    <w:p w14:paraId="315E8C1A">
      <w:pPr>
        <w:pStyle w:val="23"/>
      </w:pPr>
    </w:p>
    <w:p w14:paraId="57D1C538">
      <w:pPr>
        <w:pStyle w:val="23"/>
      </w:pPr>
    </w:p>
    <w:p w14:paraId="54050731">
      <w:pPr>
        <w:pStyle w:val="23"/>
      </w:pPr>
    </w:p>
    <w:p w14:paraId="217F170B">
      <w:pPr>
        <w:pStyle w:val="23"/>
        <w:ind w:firstLine="0" w:firstLineChars="0"/>
      </w:pPr>
    </w:p>
    <w:p w14:paraId="6F794803">
      <w:pPr>
        <w:pStyle w:val="23"/>
      </w:pPr>
    </w:p>
    <w:p w14:paraId="1E6DB4AF">
      <w:pPr>
        <w:pStyle w:val="23"/>
      </w:pPr>
    </w:p>
    <w:p w14:paraId="3AB419A7">
      <w:pPr>
        <w:pStyle w:val="23"/>
      </w:pPr>
    </w:p>
    <w:p w14:paraId="249B7740">
      <w:pPr>
        <w:pStyle w:val="23"/>
      </w:pPr>
    </w:p>
    <w:p w14:paraId="25AA743C">
      <w:pPr>
        <w:pStyle w:val="23"/>
      </w:pPr>
    </w:p>
    <w:p w14:paraId="0C4D0B72">
      <w:pPr>
        <w:pStyle w:val="23"/>
      </w:pPr>
    </w:p>
    <w:p w14:paraId="4B506752">
      <w:pPr>
        <w:pStyle w:val="23"/>
      </w:pPr>
    </w:p>
    <w:p w14:paraId="32FC0202">
      <w:pPr>
        <w:pStyle w:val="23"/>
      </w:pPr>
    </w:p>
    <w:p w14:paraId="545397D4">
      <w:pPr>
        <w:pStyle w:val="23"/>
      </w:pPr>
    </w:p>
    <w:p w14:paraId="45A27E59">
      <w:pPr>
        <w:pStyle w:val="23"/>
      </w:pPr>
    </w:p>
    <w:p w14:paraId="4A8A75ED">
      <w:pPr>
        <w:pStyle w:val="23"/>
      </w:pPr>
    </w:p>
    <w:p w14:paraId="2AA26C05">
      <w:pPr>
        <w:pStyle w:val="23"/>
      </w:pPr>
    </w:p>
    <w:p w14:paraId="7D1DE45C">
      <w:pPr>
        <w:pStyle w:val="23"/>
      </w:pPr>
    </w:p>
    <w:p w14:paraId="6471B8DC">
      <w:pPr>
        <w:pStyle w:val="23"/>
        <w:ind w:firstLine="0" w:firstLineChars="0"/>
      </w:pPr>
    </w:p>
    <w:p w14:paraId="4F6A5286">
      <w:pPr>
        <w:pStyle w:val="28"/>
        <w:rPr>
          <w:color w:val="000000" w:themeColor="text1"/>
          <w14:textFill>
            <w14:solidFill>
              <w14:schemeClr w14:val="tx1"/>
            </w14:solidFill>
          </w14:textFill>
        </w:rPr>
      </w:pPr>
      <w:bookmarkStart w:id="12" w:name="_Toc6272"/>
      <w:r>
        <w:rPr>
          <w:rFonts w:hint="eastAsia" w:hAnsi="黑体" w:cs="黑体"/>
          <w:color w:val="000000" w:themeColor="text1"/>
          <w:lang w:val="en-US" w:eastAsia="zh-CN"/>
          <w14:textFill>
            <w14:solidFill>
              <w14:schemeClr w14:val="tx1"/>
            </w14:solidFill>
          </w14:textFill>
        </w:rPr>
        <w:t>引</w:t>
      </w:r>
      <w:r>
        <w:rPr>
          <w:rFonts w:hint="eastAsia" w:hAnsi="黑体" w:cs="黑体"/>
          <w:color w:val="000000" w:themeColor="text1"/>
          <w14:textFill>
            <w14:solidFill>
              <w14:schemeClr w14:val="tx1"/>
            </w14:solidFill>
          </w14:textFill>
        </w:rPr>
        <w:t>  言</w:t>
      </w:r>
      <w:bookmarkEnd w:id="12"/>
      <w:r>
        <w:rPr>
          <w:color w:val="000000" w:themeColor="text1"/>
          <w14:textFill>
            <w14:solidFill>
              <w14:schemeClr w14:val="tx1"/>
            </w14:solidFill>
          </w14:textFill>
        </w:rPr>
        <w:tab/>
      </w:r>
    </w:p>
    <w:p w14:paraId="1FC7636C">
      <w:pPr>
        <w:pStyle w:val="23"/>
      </w:pPr>
      <w:r>
        <w:rPr>
          <w:rFonts w:hint="eastAsia"/>
        </w:rPr>
        <w:t>富硒产业是我国特色农业的重要组成部分，富硒产品的质量安全直接关系到消费者健康和产业可持续发展。本文件在参考国家食品安全追溯相关标准的基础上，结合富硒产品的特殊性和行业实践经验，为富硒产品生产经营企业建立追溯体系提供技术指导。本文件为推荐性指南，各类组织可根据自身实际情况选择适用内容。</w:t>
      </w:r>
    </w:p>
    <w:p w14:paraId="4563EABD">
      <w:pPr>
        <w:pStyle w:val="23"/>
      </w:pPr>
    </w:p>
    <w:p w14:paraId="1B28F71A">
      <w:pPr>
        <w:pStyle w:val="23"/>
      </w:pPr>
    </w:p>
    <w:p w14:paraId="172F9EB2">
      <w:pPr>
        <w:pStyle w:val="23"/>
      </w:pPr>
    </w:p>
    <w:p w14:paraId="0B564769">
      <w:pPr>
        <w:pStyle w:val="23"/>
      </w:pPr>
    </w:p>
    <w:p w14:paraId="604D38E1">
      <w:pPr>
        <w:pStyle w:val="23"/>
      </w:pPr>
    </w:p>
    <w:p w14:paraId="55FD4643">
      <w:pPr>
        <w:pStyle w:val="23"/>
      </w:pPr>
    </w:p>
    <w:p w14:paraId="3C59EF01">
      <w:pPr>
        <w:pStyle w:val="23"/>
      </w:pPr>
    </w:p>
    <w:p w14:paraId="04B60DFE">
      <w:pPr>
        <w:pStyle w:val="23"/>
      </w:pPr>
    </w:p>
    <w:p w14:paraId="23C60B68">
      <w:pPr>
        <w:pStyle w:val="23"/>
      </w:pPr>
    </w:p>
    <w:p w14:paraId="75B071AA">
      <w:pPr>
        <w:pStyle w:val="23"/>
      </w:pPr>
    </w:p>
    <w:p w14:paraId="4841B45B">
      <w:pPr>
        <w:pStyle w:val="23"/>
      </w:pPr>
    </w:p>
    <w:p w14:paraId="44874D72">
      <w:pPr>
        <w:pStyle w:val="23"/>
      </w:pPr>
    </w:p>
    <w:p w14:paraId="2D68B61F">
      <w:pPr>
        <w:pStyle w:val="23"/>
      </w:pPr>
    </w:p>
    <w:p w14:paraId="2ECAB6E6">
      <w:pPr>
        <w:pStyle w:val="23"/>
      </w:pPr>
    </w:p>
    <w:p w14:paraId="01710008">
      <w:pPr>
        <w:pStyle w:val="23"/>
        <w:ind w:firstLine="0" w:firstLineChars="0"/>
      </w:pPr>
    </w:p>
    <w:p w14:paraId="25F707F5">
      <w:pPr>
        <w:pStyle w:val="23"/>
      </w:pPr>
    </w:p>
    <w:p w14:paraId="0B467423">
      <w:pPr>
        <w:pStyle w:val="23"/>
      </w:pPr>
    </w:p>
    <w:p w14:paraId="27CF055C">
      <w:pPr>
        <w:pStyle w:val="23"/>
      </w:pPr>
    </w:p>
    <w:p w14:paraId="2E04D492">
      <w:pPr>
        <w:pStyle w:val="23"/>
      </w:pPr>
    </w:p>
    <w:p w14:paraId="47C7B4F4">
      <w:pPr>
        <w:pStyle w:val="23"/>
      </w:pPr>
    </w:p>
    <w:p w14:paraId="7FED6FC9">
      <w:pPr>
        <w:pStyle w:val="23"/>
      </w:pPr>
    </w:p>
    <w:p w14:paraId="0698FFD1">
      <w:pPr>
        <w:pStyle w:val="23"/>
      </w:pPr>
    </w:p>
    <w:p w14:paraId="75332C22">
      <w:pPr>
        <w:pStyle w:val="23"/>
      </w:pPr>
    </w:p>
    <w:p w14:paraId="17BB3629">
      <w:pPr>
        <w:pStyle w:val="23"/>
      </w:pPr>
    </w:p>
    <w:p w14:paraId="57F5501B">
      <w:pPr>
        <w:pStyle w:val="23"/>
      </w:pPr>
    </w:p>
    <w:p w14:paraId="0342F8EE">
      <w:pPr>
        <w:pStyle w:val="23"/>
      </w:pPr>
    </w:p>
    <w:p w14:paraId="722C1825">
      <w:pPr>
        <w:pStyle w:val="23"/>
      </w:pPr>
    </w:p>
    <w:p w14:paraId="03901680">
      <w:pPr>
        <w:pStyle w:val="23"/>
      </w:pPr>
    </w:p>
    <w:p w14:paraId="5FC80023">
      <w:pPr>
        <w:pStyle w:val="27"/>
        <w:jc w:val="both"/>
        <w:rPr>
          <w:rFonts w:hAnsi="黑体" w:cs="黑体"/>
          <w:color w:val="000000" w:themeColor="text1"/>
          <w:szCs w:val="32"/>
          <w14:textFill>
            <w14:solidFill>
              <w14:schemeClr w14:val="tx1"/>
            </w14:solidFill>
          </w14:textFill>
        </w:rPr>
        <w:sectPr>
          <w:headerReference r:id="rId4" w:type="default"/>
          <w:footerReference r:id="rId6" w:type="default"/>
          <w:headerReference r:id="rId5" w:type="even"/>
          <w:footerReference r:id="rId7" w:type="even"/>
          <w:pgSz w:w="11906" w:h="16838"/>
          <w:pgMar w:top="1440" w:right="1800" w:bottom="1440" w:left="1800" w:header="1418" w:footer="1134" w:gutter="0"/>
          <w:pgNumType w:fmt="upperRoman" w:start="1"/>
          <w:cols w:space="720" w:num="1"/>
          <w:formProt w:val="0"/>
          <w:docGrid w:type="lines" w:linePitch="312" w:charSpace="0"/>
        </w:sectPr>
      </w:pPr>
    </w:p>
    <w:p w14:paraId="7CB6FA41">
      <w:pPr>
        <w:pStyle w:val="27"/>
        <w:spacing w:before="312" w:beforeLines="100" w:after="686" w:afterLines="220" w:line="400" w:lineRule="exact"/>
        <w:rPr>
          <w:rFonts w:hint="default" w:hAnsi="黑体" w:eastAsia="黑体" w:cs="黑体"/>
          <w:color w:val="000000" w:themeColor="text1"/>
          <w:szCs w:val="32"/>
          <w:lang w:val="en-US" w:eastAsia="zh-CN"/>
          <w14:textFill>
            <w14:solidFill>
              <w14:schemeClr w14:val="tx1"/>
            </w14:solidFill>
          </w14:textFill>
        </w:rPr>
      </w:pPr>
      <w:bookmarkStart w:id="13" w:name="_Toc25547"/>
      <w:bookmarkStart w:id="14" w:name="_Toc29610"/>
      <w:bookmarkStart w:id="15" w:name="_Toc21889"/>
      <w:bookmarkStart w:id="16" w:name="_Toc18981"/>
      <w:r>
        <w:rPr>
          <w:rFonts w:hint="eastAsia" w:hAnsi="黑体" w:cs="黑体"/>
          <w:color w:val="000000" w:themeColor="text1"/>
          <w:szCs w:val="32"/>
          <w:lang w:val="en-US" w:eastAsia="zh-CN"/>
          <w14:textFill>
            <w14:solidFill>
              <w14:schemeClr w14:val="tx1"/>
            </w14:solidFill>
          </w14:textFill>
        </w:rPr>
        <w:t>富硒产品追溯指南</w:t>
      </w:r>
      <w:bookmarkEnd w:id="13"/>
      <w:bookmarkEnd w:id="14"/>
      <w:bookmarkEnd w:id="15"/>
      <w:bookmarkEnd w:id="16"/>
    </w:p>
    <w:p w14:paraId="27A0F6FA">
      <w:pPr>
        <w:pStyle w:val="25"/>
        <w:spacing w:before="312" w:after="312"/>
        <w:rPr>
          <w:rFonts w:hint="eastAsia" w:hAnsi="Times New Roman" w:cs="Times New Roman"/>
          <w:color w:val="auto"/>
          <w:highlight w:val="none"/>
        </w:rPr>
      </w:pPr>
      <w:bookmarkStart w:id="17" w:name="_Toc11497"/>
      <w:r>
        <w:rPr>
          <w:rFonts w:hint="eastAsia" w:hAnsi="Times New Roman" w:cs="Times New Roman"/>
          <w:color w:val="auto"/>
          <w:highlight w:val="none"/>
        </w:rPr>
        <w:t>范围</w:t>
      </w:r>
      <w:bookmarkEnd w:id="17"/>
    </w:p>
    <w:p w14:paraId="39858B3A">
      <w:pPr>
        <w:pStyle w:val="23"/>
        <w:rPr>
          <w:rFonts w:hint="eastAsia"/>
        </w:rPr>
      </w:pPr>
      <w:r>
        <w:rPr>
          <w:rFonts w:hint="eastAsia"/>
        </w:rPr>
        <w:t>本文件提供了富硒产品供应链中追溯体系构建、追溯编码、追溯信息管理、追溯标识</w:t>
      </w:r>
      <w:r>
        <w:rPr>
          <w:rFonts w:hint="eastAsia"/>
          <w:lang w:eastAsia="zh-CN"/>
        </w:rPr>
        <w:t>、</w:t>
      </w:r>
      <w:r>
        <w:rPr>
          <w:rFonts w:hint="eastAsia"/>
        </w:rPr>
        <w:t>追溯信息技术</w:t>
      </w:r>
      <w:r>
        <w:rPr>
          <w:rFonts w:hint="eastAsia"/>
          <w:lang w:val="en-US" w:eastAsia="zh-CN"/>
        </w:rPr>
        <w:t>以及追溯评价</w:t>
      </w:r>
      <w:r>
        <w:rPr>
          <w:rFonts w:hint="eastAsia"/>
        </w:rPr>
        <w:t>的指导。</w:t>
      </w:r>
    </w:p>
    <w:p w14:paraId="7D78D28E">
      <w:pPr>
        <w:pStyle w:val="23"/>
        <w:rPr>
          <w:rFonts w:ascii="黑体" w:hAnsi="Times New Roman" w:cs="Times New Roman"/>
        </w:rPr>
      </w:pPr>
      <w:r>
        <w:rPr>
          <w:rFonts w:hint="eastAsia"/>
        </w:rPr>
        <w:t>本文件适用于富硒农产品、富硒食品及其制品的生产经营企业建立和运行产品追溯体系，其他富硒相关产品可参照执行。</w:t>
      </w:r>
    </w:p>
    <w:p w14:paraId="510C8CB7">
      <w:pPr>
        <w:pStyle w:val="25"/>
        <w:spacing w:before="312" w:after="312"/>
        <w:rPr>
          <w:rFonts w:hint="eastAsia" w:hAnsi="Times New Roman" w:cs="Times New Roman"/>
          <w:color w:val="auto"/>
          <w:highlight w:val="none"/>
        </w:rPr>
      </w:pPr>
      <w:bookmarkStart w:id="18" w:name="_Toc27318"/>
      <w:r>
        <w:rPr>
          <w:rFonts w:hint="eastAsia" w:hAnsi="Times New Roman" w:cs="Times New Roman"/>
          <w:color w:val="auto"/>
          <w:highlight w:val="none"/>
        </w:rPr>
        <w:t>规范性引用文件</w:t>
      </w:r>
      <w:bookmarkEnd w:id="18"/>
    </w:p>
    <w:p w14:paraId="566F782A">
      <w:pPr>
        <w:pStyle w:val="23"/>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991012B">
      <w:pPr>
        <w:pStyle w:val="23"/>
        <w:rPr>
          <w:rFonts w:hint="eastAsia"/>
        </w:rPr>
      </w:pPr>
      <w:r>
        <w:rPr>
          <w:rFonts w:hint="eastAsia"/>
        </w:rPr>
        <w:t xml:space="preserve">GB/T 16986 </w:t>
      </w:r>
      <w:r>
        <w:rPr>
          <w:rFonts w:hint="eastAsia"/>
          <w:lang w:val="en-US" w:eastAsia="zh-CN"/>
        </w:rPr>
        <w:t xml:space="preserve"> </w:t>
      </w:r>
      <w:r>
        <w:rPr>
          <w:rFonts w:hint="eastAsia"/>
        </w:rPr>
        <w:t>商品条码 应用标识符</w:t>
      </w:r>
    </w:p>
    <w:p w14:paraId="2EB63066">
      <w:pPr>
        <w:pStyle w:val="23"/>
        <w:rPr>
          <w:rFonts w:hint="eastAsia"/>
        </w:rPr>
      </w:pPr>
      <w:r>
        <w:rPr>
          <w:rFonts w:hint="eastAsia"/>
        </w:rPr>
        <w:t xml:space="preserve">GB/T 22005 </w:t>
      </w:r>
      <w:r>
        <w:rPr>
          <w:rFonts w:hint="eastAsia"/>
          <w:lang w:val="en-US" w:eastAsia="zh-CN"/>
        </w:rPr>
        <w:t xml:space="preserve"> </w:t>
      </w:r>
      <w:r>
        <w:rPr>
          <w:rFonts w:hint="eastAsia"/>
        </w:rPr>
        <w:t>饲料和食品链的可追溯性 体系设计与实施的通用原则和基本要求</w:t>
      </w:r>
    </w:p>
    <w:p w14:paraId="602EDF98">
      <w:pPr>
        <w:pStyle w:val="23"/>
        <w:rPr>
          <w:rFonts w:hint="eastAsia"/>
        </w:rPr>
      </w:pPr>
      <w:r>
        <w:rPr>
          <w:rFonts w:hint="eastAsia"/>
        </w:rPr>
        <w:t xml:space="preserve">GB/Z 25008 </w:t>
      </w:r>
      <w:r>
        <w:rPr>
          <w:rFonts w:hint="eastAsia"/>
          <w:lang w:val="en-US" w:eastAsia="zh-CN"/>
        </w:rPr>
        <w:t xml:space="preserve"> </w:t>
      </w:r>
      <w:r>
        <w:rPr>
          <w:rFonts w:hint="eastAsia"/>
        </w:rPr>
        <w:t>饲料和食品链的可追溯性 体系设计与实施指南</w:t>
      </w:r>
    </w:p>
    <w:p w14:paraId="04E146DB">
      <w:pPr>
        <w:pStyle w:val="23"/>
        <w:rPr>
          <w:rFonts w:hint="eastAsia"/>
        </w:rPr>
      </w:pPr>
      <w:r>
        <w:rPr>
          <w:rFonts w:hint="eastAsia"/>
        </w:rPr>
        <w:t>GB/T 33993</w:t>
      </w:r>
      <w:r>
        <w:rPr>
          <w:rFonts w:hint="eastAsia"/>
          <w:lang w:eastAsia="zh-CN"/>
        </w:rPr>
        <w:t>—</w:t>
      </w:r>
      <w:r>
        <w:rPr>
          <w:rFonts w:hint="eastAsia"/>
          <w:lang w:val="en-US" w:eastAsia="zh-CN"/>
        </w:rPr>
        <w:t>2024</w:t>
      </w:r>
      <w:r>
        <w:rPr>
          <w:rFonts w:hint="eastAsia"/>
        </w:rPr>
        <w:t xml:space="preserve"> </w:t>
      </w:r>
      <w:r>
        <w:rPr>
          <w:rFonts w:hint="eastAsia"/>
          <w:lang w:val="en-US" w:eastAsia="zh-CN"/>
        </w:rPr>
        <w:t xml:space="preserve"> </w:t>
      </w:r>
      <w:r>
        <w:rPr>
          <w:rFonts w:hint="eastAsia"/>
        </w:rPr>
        <w:t>商品二维码</w:t>
      </w:r>
    </w:p>
    <w:p w14:paraId="30E1C48D">
      <w:pPr>
        <w:pStyle w:val="23"/>
        <w:rPr>
          <w:rFonts w:hint="eastAsia"/>
        </w:rPr>
      </w:pPr>
      <w:r>
        <w:rPr>
          <w:rFonts w:hint="eastAsia"/>
        </w:rPr>
        <w:t>GB/T 35273</w:t>
      </w:r>
      <w:r>
        <w:rPr>
          <w:rFonts w:hint="eastAsia"/>
          <w:lang w:val="en-US" w:eastAsia="zh-CN"/>
        </w:rPr>
        <w:t xml:space="preserve"> </w:t>
      </w:r>
      <w:r>
        <w:rPr>
          <w:rFonts w:hint="eastAsia"/>
        </w:rPr>
        <w:t xml:space="preserve"> 信息安全技术 个人信息安全规范</w:t>
      </w:r>
    </w:p>
    <w:p w14:paraId="52249398">
      <w:pPr>
        <w:pStyle w:val="23"/>
        <w:rPr>
          <w:rFonts w:hint="eastAsia"/>
        </w:rPr>
      </w:pPr>
      <w:r>
        <w:rPr>
          <w:rFonts w:hint="eastAsia"/>
        </w:rPr>
        <w:t xml:space="preserve">GB/T 38154 </w:t>
      </w:r>
      <w:r>
        <w:rPr>
          <w:rFonts w:hint="eastAsia"/>
          <w:lang w:val="en-US" w:eastAsia="zh-CN"/>
        </w:rPr>
        <w:t xml:space="preserve"> </w:t>
      </w:r>
      <w:r>
        <w:rPr>
          <w:rFonts w:hint="eastAsia"/>
        </w:rPr>
        <w:t>重要产品追溯 核心元数据</w:t>
      </w:r>
    </w:p>
    <w:p w14:paraId="23F1F0A5">
      <w:pPr>
        <w:pStyle w:val="23"/>
        <w:rPr>
          <w:rFonts w:hint="eastAsia"/>
        </w:rPr>
      </w:pPr>
      <w:r>
        <w:rPr>
          <w:rFonts w:hint="eastAsia"/>
        </w:rPr>
        <w:t xml:space="preserve">GB/T 38158 </w:t>
      </w:r>
      <w:r>
        <w:rPr>
          <w:rFonts w:hint="eastAsia"/>
          <w:lang w:val="en-US" w:eastAsia="zh-CN"/>
        </w:rPr>
        <w:t xml:space="preserve"> </w:t>
      </w:r>
      <w:r>
        <w:rPr>
          <w:rFonts w:hint="eastAsia"/>
        </w:rPr>
        <w:t>重要产品追溯 产品追溯系统基本要求</w:t>
      </w:r>
    </w:p>
    <w:p w14:paraId="56B9CD07">
      <w:pPr>
        <w:pStyle w:val="23"/>
        <w:rPr>
          <w:rFonts w:hint="eastAsia"/>
        </w:rPr>
      </w:pPr>
      <w:r>
        <w:rPr>
          <w:rFonts w:hint="eastAsia"/>
        </w:rPr>
        <w:t xml:space="preserve">GB/T 40204 </w:t>
      </w:r>
      <w:r>
        <w:rPr>
          <w:rFonts w:hint="eastAsia"/>
          <w:lang w:val="en-US" w:eastAsia="zh-CN"/>
        </w:rPr>
        <w:t xml:space="preserve"> </w:t>
      </w:r>
      <w:r>
        <w:rPr>
          <w:rFonts w:hint="eastAsia"/>
        </w:rPr>
        <w:t>追溯二维码技术通则</w:t>
      </w:r>
    </w:p>
    <w:p w14:paraId="3839E2C1">
      <w:pPr>
        <w:pStyle w:val="23"/>
        <w:rPr>
          <w:rFonts w:hint="eastAsia"/>
        </w:rPr>
      </w:pPr>
      <w:r>
        <w:rPr>
          <w:rFonts w:hint="eastAsia"/>
        </w:rPr>
        <w:t xml:space="preserve">GB/T 45547 </w:t>
      </w:r>
      <w:r>
        <w:rPr>
          <w:rFonts w:hint="eastAsia"/>
          <w:lang w:val="en-US" w:eastAsia="zh-CN"/>
        </w:rPr>
        <w:t xml:space="preserve"> </w:t>
      </w:r>
      <w:r>
        <w:rPr>
          <w:rFonts w:hint="eastAsia"/>
        </w:rPr>
        <w:t>食品生产追溯体系通用技术规范</w:t>
      </w:r>
    </w:p>
    <w:p w14:paraId="50D90D7A">
      <w:pPr>
        <w:pStyle w:val="23"/>
        <w:rPr>
          <w:rFonts w:hint="eastAsia"/>
        </w:rPr>
      </w:pPr>
      <w:r>
        <w:rPr>
          <w:rFonts w:hint="eastAsia"/>
        </w:rPr>
        <w:t>RB/T 138</w:t>
      </w:r>
      <w:r>
        <w:rPr>
          <w:rFonts w:hint="eastAsia"/>
          <w:lang w:eastAsia="zh-CN"/>
        </w:rPr>
        <w:t>—</w:t>
      </w:r>
      <w:r>
        <w:rPr>
          <w:rFonts w:hint="eastAsia"/>
          <w:lang w:val="en-US" w:eastAsia="zh-CN"/>
        </w:rPr>
        <w:t>2023</w:t>
      </w:r>
      <w:r>
        <w:rPr>
          <w:rFonts w:hint="eastAsia"/>
        </w:rPr>
        <w:t xml:space="preserve"> </w:t>
      </w:r>
      <w:r>
        <w:rPr>
          <w:rFonts w:hint="eastAsia"/>
          <w:lang w:val="en-US" w:eastAsia="zh-CN"/>
        </w:rPr>
        <w:t xml:space="preserve"> </w:t>
      </w:r>
      <w:r>
        <w:rPr>
          <w:rFonts w:hint="eastAsia"/>
        </w:rPr>
        <w:t>富硒产品认证技术规范</w:t>
      </w:r>
    </w:p>
    <w:p w14:paraId="4515C188">
      <w:pPr>
        <w:pStyle w:val="23"/>
        <w:rPr>
          <w:rFonts w:hint="eastAsia"/>
        </w:rPr>
      </w:pPr>
      <w:r>
        <w:rPr>
          <w:rFonts w:hint="eastAsia"/>
        </w:rPr>
        <w:t xml:space="preserve">NY/T 4711 </w:t>
      </w:r>
      <w:r>
        <w:rPr>
          <w:rFonts w:hint="eastAsia"/>
          <w:lang w:val="en-US" w:eastAsia="zh-CN"/>
        </w:rPr>
        <w:t xml:space="preserve"> </w:t>
      </w:r>
      <w:r>
        <w:rPr>
          <w:rFonts w:hint="eastAsia"/>
        </w:rPr>
        <w:t>农产品质量安全追溯 编码与标识</w:t>
      </w:r>
    </w:p>
    <w:p w14:paraId="66B933A9">
      <w:pPr>
        <w:pStyle w:val="23"/>
        <w:rPr>
          <w:rFonts w:hint="eastAsia"/>
        </w:rPr>
      </w:pPr>
      <w:r>
        <w:rPr>
          <w:rFonts w:hint="eastAsia"/>
        </w:rPr>
        <w:t xml:space="preserve">NY/T 4712 </w:t>
      </w:r>
      <w:r>
        <w:rPr>
          <w:rFonts w:hint="eastAsia"/>
          <w:lang w:val="en-US" w:eastAsia="zh-CN"/>
        </w:rPr>
        <w:t xml:space="preserve"> </w:t>
      </w:r>
      <w:r>
        <w:rPr>
          <w:rFonts w:hint="eastAsia"/>
        </w:rPr>
        <w:t>农产品质量安全追溯 数据格式</w:t>
      </w:r>
    </w:p>
    <w:p w14:paraId="3F722048">
      <w:pPr>
        <w:pStyle w:val="23"/>
        <w:rPr>
          <w:rFonts w:hint="eastAsia" w:ascii="宋体"/>
        </w:rPr>
      </w:pPr>
      <w:r>
        <w:rPr>
          <w:rFonts w:hint="eastAsia"/>
        </w:rPr>
        <w:t xml:space="preserve">NY/T 4713 </w:t>
      </w:r>
      <w:r>
        <w:rPr>
          <w:rFonts w:hint="eastAsia"/>
          <w:lang w:val="en-US" w:eastAsia="zh-CN"/>
        </w:rPr>
        <w:t xml:space="preserve"> </w:t>
      </w:r>
      <w:r>
        <w:rPr>
          <w:rFonts w:hint="eastAsia"/>
        </w:rPr>
        <w:t>农产品质量安全追溯 数据接口</w:t>
      </w:r>
    </w:p>
    <w:p w14:paraId="389B5BC4">
      <w:pPr>
        <w:pStyle w:val="25"/>
        <w:spacing w:before="312" w:after="312"/>
        <w:rPr>
          <w:rFonts w:hint="eastAsia" w:hAnsi="Times New Roman" w:cs="Times New Roman"/>
          <w:color w:val="auto"/>
          <w:highlight w:val="none"/>
        </w:rPr>
      </w:pPr>
      <w:bookmarkStart w:id="19" w:name="_Toc22381"/>
      <w:r>
        <w:rPr>
          <w:rFonts w:hint="eastAsia" w:hAnsi="Times New Roman" w:cs="Times New Roman"/>
          <w:color w:val="auto"/>
          <w:highlight w:val="none"/>
        </w:rPr>
        <w:t>术语和定义</w:t>
      </w:r>
      <w:bookmarkEnd w:id="19"/>
    </w:p>
    <w:p w14:paraId="5BD37B9D">
      <w:pPr>
        <w:pStyle w:val="23"/>
        <w:rPr>
          <w:rFonts w:hint="eastAsia"/>
        </w:rPr>
      </w:pPr>
      <w:r>
        <w:rPr>
          <w:rFonts w:hint="eastAsia"/>
        </w:rPr>
        <w:t>GB/T 38155</w:t>
      </w:r>
      <w:r>
        <w:rPr>
          <w:rFonts w:hint="eastAsia"/>
          <w:lang w:val="en-US" w:eastAsia="zh-CN"/>
        </w:rPr>
        <w:t>界定的及</w:t>
      </w:r>
      <w:r>
        <w:rPr>
          <w:rFonts w:hint="eastAsia"/>
        </w:rPr>
        <w:t>下列术语和定义适用于本文件。</w:t>
      </w:r>
    </w:p>
    <w:p w14:paraId="726CBA8F">
      <w:pPr>
        <w:pStyle w:val="51"/>
        <w:spacing w:before="156" w:after="156"/>
        <w:rPr>
          <w:rFonts w:hint="eastAsia"/>
        </w:rPr>
      </w:pPr>
    </w:p>
    <w:p w14:paraId="5646B8B0">
      <w:pPr>
        <w:pStyle w:val="22"/>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ind w:leftChars="0" w:firstLine="420" w:firstLineChars="200"/>
        <w:textAlignment w:val="auto"/>
        <w:rPr>
          <w:rFonts w:hint="eastAsia"/>
        </w:rPr>
      </w:pPr>
      <w:r>
        <w:rPr>
          <w:rFonts w:hint="eastAsia"/>
        </w:rPr>
        <w:t>富硒产品 selenium-enriched product</w:t>
      </w:r>
    </w:p>
    <w:p w14:paraId="0456DA8E">
      <w:pPr>
        <w:pStyle w:val="23"/>
        <w:rPr>
          <w:rFonts w:hint="eastAsia"/>
        </w:rPr>
      </w:pPr>
      <w:r>
        <w:rPr>
          <w:rFonts w:hint="eastAsia"/>
        </w:rPr>
        <w:t>通过生物对硒的吸收与转化、食品营养强化等方式,硒含量达到既定要求,对人体健康有益而不产生危害的农产品或食品。</w:t>
      </w:r>
    </w:p>
    <w:p w14:paraId="66F2578C">
      <w:pPr>
        <w:pStyle w:val="23"/>
        <w:rPr>
          <w:rFonts w:hint="eastAsia"/>
        </w:rPr>
      </w:pPr>
      <w:r>
        <w:rPr>
          <w:rFonts w:hint="eastAsia" w:ascii="宋体" w:hAnsi="宋体" w:eastAsia="宋体" w:cs="宋体"/>
        </w:rPr>
        <w:t>[</w:t>
      </w:r>
      <w:r>
        <w:rPr>
          <w:rFonts w:hint="eastAsia" w:ascii="宋体" w:hAnsi="宋体" w:eastAsia="宋体" w:cs="宋体"/>
          <w:lang w:val="en-US" w:eastAsia="zh-CN"/>
        </w:rPr>
        <w:t>来源：</w:t>
      </w:r>
      <w:r>
        <w:rPr>
          <w:rFonts w:hint="eastAsia"/>
        </w:rPr>
        <w:t>RB/T 138</w:t>
      </w:r>
      <w:r>
        <w:rPr>
          <w:rFonts w:hint="eastAsia"/>
          <w:lang w:eastAsia="zh-CN"/>
        </w:rPr>
        <w:t>—</w:t>
      </w:r>
      <w:r>
        <w:rPr>
          <w:rFonts w:hint="eastAsia"/>
          <w:lang w:val="en-US" w:eastAsia="zh-CN"/>
        </w:rPr>
        <w:t>2023，3.1</w:t>
      </w:r>
      <w:r>
        <w:rPr>
          <w:rFonts w:hint="eastAsia" w:ascii="宋体" w:hAnsi="宋体" w:eastAsia="宋体" w:cs="宋体"/>
        </w:rPr>
        <w:t>]</w:t>
      </w:r>
    </w:p>
    <w:p w14:paraId="25D4F261">
      <w:pPr>
        <w:pStyle w:val="25"/>
        <w:spacing w:before="312" w:after="312"/>
        <w:rPr>
          <w:rFonts w:hint="eastAsia" w:hAnsi="Times New Roman" w:cs="Times New Roman"/>
          <w:color w:val="auto"/>
          <w:highlight w:val="none"/>
        </w:rPr>
      </w:pPr>
      <w:bookmarkStart w:id="20" w:name="_Toc21920"/>
      <w:r>
        <w:rPr>
          <w:rFonts w:hint="eastAsia" w:hAnsi="Times New Roman" w:cs="Times New Roman"/>
          <w:color w:val="auto"/>
          <w:highlight w:val="none"/>
        </w:rPr>
        <w:t>总则</w:t>
      </w:r>
      <w:bookmarkEnd w:id="20"/>
    </w:p>
    <w:p w14:paraId="4B367987">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富硒产品追溯体系的建立宜以保障产品质量安全为核心目标，并尽可能覆盖从产地到销售终端的全过程。</w:t>
      </w:r>
    </w:p>
    <w:p w14:paraId="295B6BCD">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追溯体系的设计</w:t>
      </w:r>
      <w:r>
        <w:rPr>
          <w:rFonts w:hint="eastAsia" w:ascii="宋体" w:hAnsi="宋体" w:eastAsia="宋体" w:cs="宋体"/>
          <w:szCs w:val="21"/>
          <w:lang w:val="en-US" w:eastAsia="zh-CN"/>
        </w:rPr>
        <w:t>符合</w:t>
      </w:r>
      <w:r>
        <w:rPr>
          <w:rFonts w:hint="eastAsia" w:ascii="宋体" w:hAnsi="宋体" w:eastAsia="宋体" w:cs="宋体"/>
          <w:szCs w:val="21"/>
        </w:rPr>
        <w:t>GB/T 22005和GB/Z 25008的基本要求，并宜与现有质量管理体系相衔接，避免重复建设和资源浪费。</w:t>
      </w:r>
    </w:p>
    <w:p w14:paraId="190242A0">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追溯信息的记录和管理宜遵循准确性、完整性、及时性和可追溯性的原则。</w:t>
      </w:r>
    </w:p>
    <w:p w14:paraId="214056FF">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鼓励应用物联网、区块链等新一代信息技术提升追溯体系的智能化水平。</w:t>
      </w:r>
    </w:p>
    <w:p w14:paraId="5A535BDA">
      <w:pPr>
        <w:pStyle w:val="25"/>
        <w:spacing w:before="312" w:after="312"/>
        <w:rPr>
          <w:rFonts w:hint="eastAsia" w:hAnsi="Times New Roman" w:cs="Times New Roman"/>
          <w:color w:val="auto"/>
          <w:highlight w:val="none"/>
        </w:rPr>
      </w:pPr>
      <w:bookmarkStart w:id="21" w:name="_Toc10739"/>
      <w:r>
        <w:rPr>
          <w:rFonts w:hint="eastAsia" w:hAnsi="Times New Roman" w:cs="Times New Roman"/>
          <w:color w:val="auto"/>
          <w:highlight w:val="none"/>
        </w:rPr>
        <w:t>追溯体系构建</w:t>
      </w:r>
      <w:bookmarkEnd w:id="21"/>
    </w:p>
    <w:p w14:paraId="6BBFFC01">
      <w:pPr>
        <w:pStyle w:val="51"/>
        <w:spacing w:before="156" w:after="156"/>
        <w:rPr>
          <w:rFonts w:hint="eastAsia"/>
        </w:rPr>
      </w:pPr>
      <w:r>
        <w:rPr>
          <w:rFonts w:hint="eastAsia"/>
        </w:rPr>
        <w:t>追溯</w:t>
      </w:r>
      <w:r>
        <w:rPr>
          <w:rFonts w:hint="eastAsia"/>
          <w:lang w:val="en-US" w:eastAsia="zh-CN"/>
        </w:rPr>
        <w:t>范围</w:t>
      </w:r>
    </w:p>
    <w:p w14:paraId="271D57ED">
      <w:pPr>
        <w:pStyle w:val="52"/>
        <w:bidi w:val="0"/>
        <w:ind w:left="4" w:leftChars="0" w:hanging="4" w:firstLineChars="0"/>
        <w:outlineLvl w:val="9"/>
        <w:rPr>
          <w:rFonts w:hint="eastAsia"/>
        </w:rPr>
      </w:pPr>
      <w:r>
        <w:rPr>
          <w:rFonts w:hint="eastAsia"/>
        </w:rPr>
        <w:t>根据产品特性和管理需求，追溯深度可分为内部追溯和外部追溯：</w:t>
      </w:r>
    </w:p>
    <w:p w14:paraId="4CA5EE45">
      <w:pPr>
        <w:pStyle w:val="23"/>
        <w:rPr>
          <w:rFonts w:hint="eastAsia"/>
        </w:rPr>
      </w:pPr>
      <w:r>
        <w:rPr>
          <w:rFonts w:hint="eastAsia"/>
        </w:rPr>
        <w:t>a）内部追溯：组织内部各环节之间的追溯，宜能追溯到上一环节的来源和下一环节的去向；</w:t>
      </w:r>
    </w:p>
    <w:p w14:paraId="3B502670">
      <w:pPr>
        <w:pStyle w:val="23"/>
        <w:rPr>
          <w:rFonts w:hint="eastAsia"/>
        </w:rPr>
      </w:pPr>
      <w:r>
        <w:rPr>
          <w:rFonts w:hint="eastAsia"/>
        </w:rPr>
        <w:t>b）外部追溯：供应链上下游组织之间的追溯，宜能追溯到产品的最终来源和最终去向。</w:t>
      </w:r>
    </w:p>
    <w:p w14:paraId="76FFD7E2">
      <w:pPr>
        <w:pStyle w:val="52"/>
        <w:bidi w:val="0"/>
        <w:ind w:left="4" w:leftChars="0" w:hanging="4" w:firstLineChars="0"/>
        <w:outlineLvl w:val="9"/>
        <w:rPr>
          <w:rFonts w:hint="eastAsia" w:hAnsi="Times New Roman" w:cs="Times New Roman"/>
        </w:rPr>
      </w:pPr>
      <w:r>
        <w:rPr>
          <w:rFonts w:hint="eastAsia" w:hAnsi="Times New Roman" w:cs="Times New Roman"/>
        </w:rPr>
        <w:t>富硒产品追溯体系宜至少实现“批批可追溯”，即每一批次产品宜能够追溯至其生产源头。</w:t>
      </w:r>
    </w:p>
    <w:p w14:paraId="4D344117">
      <w:pPr>
        <w:pStyle w:val="51"/>
        <w:spacing w:before="156" w:after="156"/>
        <w:rPr>
          <w:rFonts w:hint="eastAsia"/>
        </w:rPr>
      </w:pPr>
      <w:r>
        <w:rPr>
          <w:rFonts w:hint="eastAsia"/>
        </w:rPr>
        <w:t>追溯单元确定</w:t>
      </w:r>
    </w:p>
    <w:p w14:paraId="448182DE">
      <w:pPr>
        <w:pStyle w:val="52"/>
        <w:bidi w:val="0"/>
        <w:ind w:left="4" w:leftChars="0" w:hanging="4" w:firstLineChars="0"/>
        <w:outlineLvl w:val="9"/>
        <w:rPr>
          <w:rFonts w:hint="eastAsia"/>
        </w:rPr>
      </w:pPr>
      <w:r>
        <w:rPr>
          <w:rFonts w:hint="eastAsia"/>
        </w:rPr>
        <w:t>组织宜识别并确定本组织在供应链各环节中的追溯单元。追溯单元的划分可基于产品特性、批次规模、加工方式和富硒等级管理需要。</w:t>
      </w:r>
    </w:p>
    <w:p w14:paraId="322D0FF8">
      <w:pPr>
        <w:pStyle w:val="52"/>
        <w:bidi w:val="0"/>
        <w:ind w:left="4" w:leftChars="0" w:hanging="4" w:firstLineChars="0"/>
        <w:outlineLvl w:val="9"/>
        <w:rPr>
          <w:rFonts w:hint="eastAsia"/>
        </w:rPr>
      </w:pPr>
      <w:r>
        <w:rPr>
          <w:rFonts w:hint="eastAsia"/>
        </w:rPr>
        <w:t>当产品在生产过程中发生混合、拆分或重组时，宜重新确定追溯单元，并记录新旧追溯单元之间的对应关系。</w:t>
      </w:r>
    </w:p>
    <w:p w14:paraId="4AF20ED3">
      <w:pPr>
        <w:pStyle w:val="51"/>
        <w:spacing w:before="156" w:after="156"/>
        <w:rPr>
          <w:rFonts w:hint="eastAsia" w:hAnsi="Times New Roman" w:cs="Times New Roman"/>
        </w:rPr>
      </w:pPr>
      <w:r>
        <w:rPr>
          <w:rFonts w:hint="eastAsia" w:hAnsi="Times New Roman" w:cs="Times New Roman"/>
        </w:rPr>
        <w:t>追溯</w:t>
      </w:r>
      <w:r>
        <w:rPr>
          <w:rFonts w:hint="eastAsia"/>
          <w:lang w:val="en-US" w:eastAsia="zh-CN"/>
        </w:rPr>
        <w:t>信息采集</w:t>
      </w:r>
    </w:p>
    <w:p w14:paraId="1DEAD7EC">
      <w:pPr>
        <w:pStyle w:val="52"/>
        <w:bidi w:val="0"/>
        <w:ind w:left="4" w:leftChars="0" w:hanging="4" w:firstLineChars="0"/>
        <w:outlineLvl w:val="9"/>
        <w:rPr>
          <w:rFonts w:hint="eastAsia"/>
        </w:rPr>
      </w:pPr>
      <w:r>
        <w:rPr>
          <w:rFonts w:hint="eastAsia"/>
        </w:rPr>
        <w:t>富硒产品追溯体系宜覆盖供应链的主要环节，包括但不限于：</w:t>
      </w:r>
    </w:p>
    <w:p w14:paraId="06B4BA85">
      <w:pPr>
        <w:pStyle w:val="23"/>
        <w:rPr>
          <w:rFonts w:hint="eastAsia"/>
        </w:rPr>
      </w:pPr>
      <w:r>
        <w:rPr>
          <w:rFonts w:hint="eastAsia"/>
        </w:rPr>
        <w:t>a）产地环境与投入品管理（土壤、水源、肥料、饲料等）；</w:t>
      </w:r>
    </w:p>
    <w:p w14:paraId="249FDD9F">
      <w:pPr>
        <w:pStyle w:val="23"/>
        <w:rPr>
          <w:rFonts w:hint="eastAsia"/>
        </w:rPr>
      </w:pPr>
      <w:r>
        <w:rPr>
          <w:rFonts w:hint="eastAsia"/>
        </w:rPr>
        <w:t>b）种植养殖环节；</w:t>
      </w:r>
    </w:p>
    <w:p w14:paraId="27A9D844">
      <w:pPr>
        <w:pStyle w:val="23"/>
        <w:rPr>
          <w:rFonts w:hint="eastAsia"/>
        </w:rPr>
      </w:pPr>
      <w:r>
        <w:rPr>
          <w:rFonts w:hint="eastAsia"/>
        </w:rPr>
        <w:t>c）原料采收/出栏环节；</w:t>
      </w:r>
    </w:p>
    <w:p w14:paraId="6CE2DDF2">
      <w:pPr>
        <w:pStyle w:val="23"/>
        <w:rPr>
          <w:rFonts w:hint="eastAsia"/>
        </w:rPr>
      </w:pPr>
      <w:r>
        <w:rPr>
          <w:rFonts w:hint="eastAsia"/>
        </w:rPr>
        <w:t>d）加工环节；</w:t>
      </w:r>
    </w:p>
    <w:p w14:paraId="03820747">
      <w:pPr>
        <w:pStyle w:val="23"/>
        <w:rPr>
          <w:rFonts w:hint="eastAsia"/>
        </w:rPr>
      </w:pPr>
      <w:r>
        <w:rPr>
          <w:rFonts w:hint="eastAsia"/>
        </w:rPr>
        <w:t>e）包装与仓储环节；</w:t>
      </w:r>
    </w:p>
    <w:p w14:paraId="65519396">
      <w:pPr>
        <w:pStyle w:val="23"/>
        <w:rPr>
          <w:rFonts w:hint="eastAsia"/>
        </w:rPr>
      </w:pPr>
      <w:r>
        <w:rPr>
          <w:rFonts w:hint="eastAsia"/>
        </w:rPr>
        <w:t>f）物流配送环节；</w:t>
      </w:r>
    </w:p>
    <w:p w14:paraId="19CB2EFD">
      <w:pPr>
        <w:pStyle w:val="23"/>
        <w:rPr>
          <w:rFonts w:hint="eastAsia"/>
        </w:rPr>
      </w:pPr>
      <w:r>
        <w:rPr>
          <w:rFonts w:hint="eastAsia"/>
        </w:rPr>
        <w:t>g）销售终端环节。</w:t>
      </w:r>
    </w:p>
    <w:p w14:paraId="5093261D">
      <w:pPr>
        <w:pStyle w:val="52"/>
        <w:bidi w:val="0"/>
        <w:ind w:left="4" w:leftChars="0" w:hanging="4" w:firstLineChars="0"/>
        <w:outlineLvl w:val="9"/>
        <w:rPr>
          <w:rFonts w:hint="eastAsia"/>
        </w:rPr>
      </w:pPr>
      <w:r>
        <w:rPr>
          <w:rFonts w:hint="eastAsia"/>
        </w:rPr>
        <w:t>组织可根据自身在供应链中的位置和角色，确定适宜的追溯范围，并注意与上下游组织的追溯体系保持有效衔接。</w:t>
      </w:r>
    </w:p>
    <w:p w14:paraId="650EEDDD">
      <w:pPr>
        <w:pStyle w:val="51"/>
        <w:spacing w:before="156" w:after="156"/>
        <w:rPr>
          <w:rFonts w:hint="eastAsia"/>
        </w:rPr>
      </w:pPr>
      <w:r>
        <w:rPr>
          <w:rFonts w:hint="eastAsia"/>
        </w:rPr>
        <w:t>追溯体系兼容性</w:t>
      </w:r>
    </w:p>
    <w:p w14:paraId="3227AB7C">
      <w:pPr>
        <w:pStyle w:val="52"/>
        <w:numPr>
          <w:ilvl w:val="-1"/>
          <w:numId w:val="0"/>
        </w:numPr>
        <w:bidi w:val="0"/>
        <w:ind w:left="0" w:leftChars="0" w:firstLine="420" w:firstLineChars="200"/>
        <w:outlineLvl w:val="9"/>
        <w:rPr>
          <w:rFonts w:hint="eastAsia" w:hAnsi="Times New Roman" w:cs="Times New Roman"/>
        </w:rPr>
      </w:pPr>
      <w:r>
        <w:rPr>
          <w:rFonts w:hint="eastAsia"/>
        </w:rPr>
        <w:t>追溯体系宜兼容企业现有编码系统和管理系统，以减轻对正常生产经营的负担。追溯编码、数据格式和数据接口宜便于与上下游组织、监管平台和消费者查询平台对接</w:t>
      </w:r>
      <w:r>
        <w:rPr>
          <w:rFonts w:hint="eastAsia" w:hAnsi="Times New Roman" w:cs="Times New Roman"/>
        </w:rPr>
        <w:t>。</w:t>
      </w:r>
    </w:p>
    <w:p w14:paraId="411C58C0">
      <w:pPr>
        <w:pStyle w:val="51"/>
        <w:bidi w:val="0"/>
        <w:spacing w:before="156" w:after="156"/>
        <w:ind w:firstLineChars="0"/>
        <w:outlineLvl w:val="9"/>
        <w:rPr>
          <w:rFonts w:hint="eastAsia"/>
        </w:rPr>
      </w:pPr>
      <w:r>
        <w:rPr>
          <w:rFonts w:hint="eastAsia"/>
        </w:rPr>
        <w:t>富硒专属关键控制点</w:t>
      </w:r>
    </w:p>
    <w:p w14:paraId="109B48F1">
      <w:pPr>
        <w:pStyle w:val="52"/>
        <w:numPr>
          <w:ilvl w:val="-1"/>
          <w:numId w:val="0"/>
        </w:numPr>
        <w:bidi w:val="0"/>
        <w:ind w:left="0" w:leftChars="0" w:firstLine="420" w:firstLineChars="200"/>
        <w:outlineLvl w:val="9"/>
        <w:rPr>
          <w:rFonts w:hint="eastAsia"/>
        </w:rPr>
      </w:pPr>
      <w:r>
        <w:rPr>
          <w:rFonts w:hint="eastAsia"/>
        </w:rPr>
        <w:t>组织宜识别富硒产品专属关键控制点，并在追溯体系中记录、验证和关联。富硒专属关键控制点至少宜包括：</w:t>
      </w:r>
    </w:p>
    <w:p w14:paraId="14EE55AF">
      <w:pPr>
        <w:pStyle w:val="52"/>
        <w:numPr>
          <w:ilvl w:val="-1"/>
          <w:numId w:val="0"/>
        </w:numPr>
        <w:bidi w:val="0"/>
        <w:ind w:left="0" w:leftChars="0" w:firstLine="420" w:firstLineChars="200"/>
        <w:outlineLvl w:val="9"/>
        <w:rPr>
          <w:rFonts w:hint="eastAsia"/>
        </w:rPr>
      </w:pPr>
      <w:r>
        <w:rPr>
          <w:rFonts w:hint="eastAsia"/>
        </w:rPr>
        <w:t>a）产地环境硒本底：土壤硒含量、土壤有效硒、土壤pH、有机质、灌溉水硒含量等；</w:t>
      </w:r>
    </w:p>
    <w:p w14:paraId="17808A65">
      <w:pPr>
        <w:pStyle w:val="52"/>
        <w:numPr>
          <w:ilvl w:val="-1"/>
          <w:numId w:val="0"/>
        </w:numPr>
        <w:bidi w:val="0"/>
        <w:ind w:left="0" w:leftChars="0" w:firstLine="420" w:firstLineChars="200"/>
        <w:outlineLvl w:val="9"/>
        <w:rPr>
          <w:rFonts w:hint="eastAsia"/>
        </w:rPr>
      </w:pPr>
      <w:r>
        <w:rPr>
          <w:rFonts w:hint="eastAsia"/>
        </w:rPr>
        <w:t>b）外源硒投入品：硒肥、硒饲料、叶面肥、营养强化剂的名称、来源、硒形态、硒含量、用量、使用时间、使用方式；</w:t>
      </w:r>
    </w:p>
    <w:p w14:paraId="5446E6CD">
      <w:pPr>
        <w:pStyle w:val="52"/>
        <w:numPr>
          <w:ilvl w:val="-1"/>
          <w:numId w:val="0"/>
        </w:numPr>
        <w:bidi w:val="0"/>
        <w:ind w:left="0" w:leftChars="0" w:firstLine="420" w:firstLineChars="200"/>
        <w:outlineLvl w:val="9"/>
        <w:rPr>
          <w:rFonts w:hint="eastAsia"/>
        </w:rPr>
      </w:pPr>
      <w:r>
        <w:rPr>
          <w:rFonts w:hint="eastAsia"/>
        </w:rPr>
        <w:t>c）生物转化与富集：品种、生育期、喷施/饲喂次数、吸收转化情况、关键农事或养殖操作；</w:t>
      </w:r>
    </w:p>
    <w:p w14:paraId="1BDEF6FA">
      <w:pPr>
        <w:pStyle w:val="52"/>
        <w:numPr>
          <w:ilvl w:val="-1"/>
          <w:numId w:val="0"/>
        </w:numPr>
        <w:bidi w:val="0"/>
        <w:ind w:left="0" w:leftChars="0" w:firstLine="420" w:firstLineChars="200"/>
        <w:outlineLvl w:val="9"/>
        <w:rPr>
          <w:rFonts w:hint="eastAsia"/>
        </w:rPr>
      </w:pPr>
      <w:r>
        <w:rPr>
          <w:rFonts w:hint="eastAsia"/>
        </w:rPr>
        <w:t>d）采收/出栏：采收/出栏时间、批次、原料硒含量初检；</w:t>
      </w:r>
    </w:p>
    <w:p w14:paraId="5D6B8EEB">
      <w:pPr>
        <w:pStyle w:val="52"/>
        <w:numPr>
          <w:ilvl w:val="-1"/>
          <w:numId w:val="0"/>
        </w:numPr>
        <w:bidi w:val="0"/>
        <w:ind w:left="0" w:leftChars="0" w:firstLine="420" w:firstLineChars="200"/>
        <w:outlineLvl w:val="9"/>
        <w:rPr>
          <w:rFonts w:hint="eastAsia"/>
        </w:rPr>
      </w:pPr>
      <w:r>
        <w:rPr>
          <w:rFonts w:hint="eastAsia"/>
        </w:rPr>
        <w:t>e）加工：原料硒含量、工艺参数对硒保留或转化的影响、外源硒强化、混合拆分关系；</w:t>
      </w:r>
    </w:p>
    <w:p w14:paraId="2EC8EEF0">
      <w:pPr>
        <w:pStyle w:val="52"/>
        <w:numPr>
          <w:ilvl w:val="-1"/>
          <w:numId w:val="0"/>
        </w:numPr>
        <w:bidi w:val="0"/>
        <w:ind w:left="0" w:leftChars="0" w:firstLine="420" w:firstLineChars="200"/>
        <w:outlineLvl w:val="9"/>
        <w:rPr>
          <w:rFonts w:hint="eastAsia"/>
        </w:rPr>
      </w:pPr>
      <w:r>
        <w:rPr>
          <w:rFonts w:hint="eastAsia"/>
        </w:rPr>
        <w:t>f）成品：成品硒含量、硒形态、均匀性、富硒等级；</w:t>
      </w:r>
    </w:p>
    <w:p w14:paraId="466AFCF2">
      <w:pPr>
        <w:pStyle w:val="52"/>
        <w:numPr>
          <w:ilvl w:val="-1"/>
          <w:numId w:val="0"/>
        </w:numPr>
        <w:bidi w:val="0"/>
        <w:ind w:left="0" w:leftChars="0" w:firstLine="420" w:firstLineChars="200"/>
        <w:outlineLvl w:val="9"/>
        <w:rPr>
          <w:rFonts w:hint="eastAsia"/>
        </w:rPr>
      </w:pPr>
      <w:r>
        <w:rPr>
          <w:rFonts w:hint="eastAsia"/>
        </w:rPr>
        <w:t>g）检测：硒含量检测方法、检测机构、报告编号、检测时间；</w:t>
      </w:r>
    </w:p>
    <w:p w14:paraId="3BC2CC14">
      <w:pPr>
        <w:pStyle w:val="52"/>
        <w:numPr>
          <w:ilvl w:val="-1"/>
          <w:numId w:val="0"/>
        </w:numPr>
        <w:bidi w:val="0"/>
        <w:ind w:left="0" w:leftChars="0" w:firstLine="420" w:firstLineChars="200"/>
        <w:outlineLvl w:val="9"/>
        <w:rPr>
          <w:rFonts w:hint="eastAsia" w:eastAsia="宋体"/>
          <w:lang w:val="en-US" w:eastAsia="zh-CN"/>
        </w:rPr>
      </w:pPr>
      <w:r>
        <w:rPr>
          <w:rFonts w:hint="eastAsia"/>
        </w:rPr>
        <w:t>h）标识：富硒等级、追溯码、检测报告关联和查询方式</w:t>
      </w:r>
      <w:r>
        <w:rPr>
          <w:rFonts w:hint="eastAsia"/>
          <w:lang w:eastAsia="zh-CN"/>
        </w:rPr>
        <w:t>。</w:t>
      </w:r>
    </w:p>
    <w:p w14:paraId="236BAAB5">
      <w:pPr>
        <w:pStyle w:val="25"/>
        <w:spacing w:before="312" w:after="312"/>
        <w:rPr>
          <w:rFonts w:hint="eastAsia" w:hAnsi="Times New Roman" w:cs="Times New Roman"/>
          <w:color w:val="auto"/>
          <w:highlight w:val="none"/>
        </w:rPr>
      </w:pPr>
      <w:bookmarkStart w:id="22" w:name="_Toc11362"/>
      <w:r>
        <w:rPr>
          <w:rFonts w:hint="eastAsia" w:hAnsi="Times New Roman" w:cs="Times New Roman"/>
          <w:color w:val="auto"/>
          <w:highlight w:val="none"/>
        </w:rPr>
        <w:t>追溯编码</w:t>
      </w:r>
      <w:bookmarkEnd w:id="22"/>
    </w:p>
    <w:p w14:paraId="2D57876F">
      <w:pPr>
        <w:pStyle w:val="51"/>
        <w:spacing w:before="156" w:after="156"/>
        <w:rPr>
          <w:rFonts w:hint="eastAsia"/>
        </w:rPr>
      </w:pPr>
      <w:r>
        <w:rPr>
          <w:rFonts w:hint="eastAsia"/>
        </w:rPr>
        <w:t>编码原则</w:t>
      </w:r>
    </w:p>
    <w:p w14:paraId="182D4666">
      <w:pPr>
        <w:pStyle w:val="23"/>
        <w:rPr>
          <w:rFonts w:hint="eastAsia"/>
        </w:rPr>
      </w:pPr>
      <w:r>
        <w:rPr>
          <w:rFonts w:hint="eastAsia"/>
          <w:lang w:val="en-US" w:eastAsia="zh-CN"/>
        </w:rPr>
        <w:t>富硒产品追溯码</w:t>
      </w:r>
      <w:r>
        <w:rPr>
          <w:rFonts w:hint="eastAsia"/>
        </w:rPr>
        <w:t>的编制原则应符合下列规定：</w:t>
      </w:r>
    </w:p>
    <w:p w14:paraId="38FE591D">
      <w:pPr>
        <w:pStyle w:val="23"/>
        <w:numPr>
          <w:ilvl w:val="0"/>
          <w:numId w:val="3"/>
        </w:numPr>
        <w:rPr>
          <w:rFonts w:hint="eastAsia"/>
          <w:lang w:val="en-US" w:eastAsia="zh-CN"/>
        </w:rPr>
      </w:pPr>
      <w:r>
        <w:rPr>
          <w:rFonts w:hint="eastAsia"/>
          <w:lang w:val="en-US" w:eastAsia="zh-CN"/>
        </w:rPr>
        <w:t>优先采用国际通用的GS1编码体系；</w:t>
      </w:r>
    </w:p>
    <w:p w14:paraId="74833083">
      <w:pPr>
        <w:pStyle w:val="23"/>
        <w:numPr>
          <w:ilvl w:val="0"/>
          <w:numId w:val="3"/>
        </w:numPr>
        <w:rPr>
          <w:rFonts w:hint="eastAsia"/>
        </w:rPr>
      </w:pPr>
      <w:r>
        <w:rPr>
          <w:rFonts w:hint="eastAsia"/>
        </w:rPr>
        <w:t>从</w:t>
      </w:r>
      <w:r>
        <w:rPr>
          <w:rFonts w:hint="eastAsia"/>
          <w:lang w:val="en-US" w:eastAsia="zh-CN"/>
        </w:rPr>
        <w:t>富硒产品</w:t>
      </w:r>
      <w:r>
        <w:rPr>
          <w:rFonts w:hint="eastAsia"/>
        </w:rPr>
        <w:t>追溯单元产生时赋予，伴随</w:t>
      </w:r>
      <w:r>
        <w:rPr>
          <w:rFonts w:hint="eastAsia"/>
          <w:lang w:val="en-US" w:eastAsia="zh-CN"/>
        </w:rPr>
        <w:t>富硒产品</w:t>
      </w:r>
      <w:r>
        <w:rPr>
          <w:rFonts w:hint="eastAsia"/>
        </w:rPr>
        <w:t>追溯单元生命周期；</w:t>
      </w:r>
    </w:p>
    <w:p w14:paraId="248A725B">
      <w:pPr>
        <w:pStyle w:val="23"/>
        <w:rPr>
          <w:rFonts w:hint="eastAsia"/>
        </w:rPr>
      </w:pPr>
      <w:r>
        <w:rPr>
          <w:rFonts w:hint="eastAsia"/>
        </w:rPr>
        <w:t>b）符合唯一性、可扩展性、兼容性的原则；</w:t>
      </w:r>
    </w:p>
    <w:p w14:paraId="4D07EDAD">
      <w:pPr>
        <w:pStyle w:val="23"/>
        <w:rPr>
          <w:rFonts w:hint="eastAsia"/>
          <w:lang w:eastAsia="zh-CN"/>
        </w:rPr>
      </w:pPr>
      <w:r>
        <w:rPr>
          <w:rFonts w:hint="eastAsia"/>
        </w:rPr>
        <w:t>c）按追溯精度需求</w:t>
      </w:r>
      <w:r>
        <w:rPr>
          <w:rFonts w:hint="eastAsia"/>
          <w:highlight w:val="none"/>
        </w:rPr>
        <w:t>选择追溯到品类、批次或单品</w:t>
      </w:r>
      <w:r>
        <w:rPr>
          <w:rFonts w:hint="eastAsia"/>
          <w:highlight w:val="none"/>
          <w:lang w:eastAsia="zh-CN"/>
        </w:rPr>
        <w:t>；</w:t>
      </w:r>
    </w:p>
    <w:p w14:paraId="0C5F013A">
      <w:pPr>
        <w:pStyle w:val="23"/>
        <w:rPr>
          <w:rFonts w:hint="eastAsia"/>
          <w:lang w:eastAsia="zh-CN"/>
        </w:rPr>
      </w:pPr>
      <w:r>
        <w:rPr>
          <w:rFonts w:hint="eastAsia"/>
          <w:lang w:val="en-US" w:eastAsia="zh-CN"/>
        </w:rPr>
        <w:t>d</w:t>
      </w:r>
      <w:r>
        <w:rPr>
          <w:rFonts w:hint="eastAsia"/>
        </w:rPr>
        <w:t>）</w:t>
      </w:r>
      <w:r>
        <w:rPr>
          <w:rFonts w:hint="eastAsia"/>
          <w:lang w:eastAsia="zh-CN"/>
        </w:rPr>
        <w:t>宜与富硒等级、检测报告和关键控制点信息关联。</w:t>
      </w:r>
    </w:p>
    <w:p w14:paraId="7A145FC8">
      <w:pPr>
        <w:pStyle w:val="51"/>
        <w:spacing w:before="156" w:after="156"/>
        <w:rPr>
          <w:rFonts w:hint="eastAsia"/>
        </w:rPr>
      </w:pPr>
      <w:r>
        <w:rPr>
          <w:rFonts w:hint="eastAsia"/>
        </w:rPr>
        <w:t>代码组成</w:t>
      </w:r>
    </w:p>
    <w:p w14:paraId="74C0F559">
      <w:pPr>
        <w:pStyle w:val="23"/>
        <w:rPr>
          <w:rFonts w:hint="eastAsia"/>
          <w:lang w:val="en-US" w:eastAsia="zh-CN"/>
        </w:rPr>
      </w:pPr>
      <w:r>
        <w:rPr>
          <w:rFonts w:hint="eastAsia"/>
          <w:lang w:val="en-US" w:eastAsia="zh-CN"/>
        </w:rPr>
        <w:t>富硒产品追溯编码的代码由全球贸易项目代码、附加信息代码组成。其中，全球贸易项目代码应符合GB 12904的规定，附加信息代码应符合GB/T 33993—2024中附录A的规定。代码组成应符合表1的规定。</w:t>
      </w:r>
    </w:p>
    <w:p w14:paraId="398B267A">
      <w:pPr>
        <w:spacing w:before="139" w:line="253" w:lineRule="exact"/>
        <w:ind w:left="3145"/>
        <w:rPr>
          <w:rFonts w:hint="eastAsia" w:ascii="黑体" w:hAnsi="黑体" w:eastAsia="黑体" w:cs="黑体"/>
          <w:sz w:val="21"/>
          <w:szCs w:val="21"/>
        </w:rPr>
      </w:pPr>
      <w:r>
        <w:rPr>
          <w:rFonts w:hint="eastAsia" w:ascii="黑体" w:hAnsi="黑体" w:eastAsia="黑体" w:cs="黑体"/>
          <w:color w:val="231F20"/>
          <w:spacing w:val="11"/>
          <w:position w:val="1"/>
          <w:sz w:val="21"/>
          <w:szCs w:val="21"/>
        </w:rPr>
        <w:t>表1</w:t>
      </w:r>
      <w:r>
        <w:rPr>
          <w:rFonts w:hint="eastAsia" w:ascii="黑体" w:hAnsi="黑体" w:eastAsia="黑体" w:cs="黑体"/>
          <w:color w:val="231F20"/>
          <w:spacing w:val="11"/>
          <w:position w:val="1"/>
          <w:sz w:val="21"/>
          <w:szCs w:val="21"/>
          <w:lang w:val="en-US" w:eastAsia="zh-CN"/>
        </w:rPr>
        <w:t xml:space="preserve"> 富硒产品</w:t>
      </w:r>
      <w:r>
        <w:rPr>
          <w:rFonts w:hint="eastAsia" w:ascii="黑体" w:hAnsi="黑体" w:eastAsia="黑体" w:cs="黑体"/>
          <w:color w:val="231F20"/>
          <w:spacing w:val="11"/>
          <w:position w:val="1"/>
          <w:sz w:val="21"/>
          <w:szCs w:val="21"/>
        </w:rPr>
        <w:t>追溯编码的代码组成</w:t>
      </w:r>
    </w:p>
    <w:p w14:paraId="4A72DF30">
      <w:pPr>
        <w:spacing w:line="208" w:lineRule="exact"/>
      </w:pPr>
    </w:p>
    <w:tbl>
      <w:tblPr>
        <w:tblStyle w:val="54"/>
        <w:tblW w:w="9347" w:type="dxa"/>
        <w:tblInd w:w="5"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2384"/>
        <w:gridCol w:w="4020"/>
        <w:gridCol w:w="2943"/>
      </w:tblGrid>
      <w:tr w14:paraId="446E26E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48" w:hRule="atLeast"/>
        </w:trPr>
        <w:tc>
          <w:tcPr>
            <w:tcW w:w="6404" w:type="dxa"/>
            <w:gridSpan w:val="2"/>
            <w:tcBorders>
              <w:right w:val="single" w:color="231F20" w:sz="2" w:space="0"/>
            </w:tcBorders>
            <w:vAlign w:val="top"/>
          </w:tcPr>
          <w:p w14:paraId="543B65BF">
            <w:pPr>
              <w:spacing w:before="104" w:line="183" w:lineRule="auto"/>
              <w:ind w:left="2489"/>
              <w:jc w:val="both"/>
              <w:rPr>
                <w:rFonts w:hint="eastAsia" w:ascii="宋体" w:hAnsi="宋体" w:eastAsia="宋体" w:cs="宋体"/>
                <w:sz w:val="18"/>
                <w:szCs w:val="18"/>
              </w:rPr>
            </w:pPr>
            <w:r>
              <w:rPr>
                <w:rFonts w:hint="eastAsia" w:ascii="宋体" w:hAnsi="宋体" w:eastAsia="宋体" w:cs="宋体"/>
                <w:color w:val="231F20"/>
                <w:spacing w:val="17"/>
                <w:sz w:val="18"/>
                <w:szCs w:val="18"/>
              </w:rPr>
              <w:t>全球贸易项目代码</w:t>
            </w:r>
          </w:p>
        </w:tc>
        <w:tc>
          <w:tcPr>
            <w:tcW w:w="2943" w:type="dxa"/>
            <w:tcBorders>
              <w:left w:val="single" w:color="231F20" w:sz="2" w:space="0"/>
            </w:tcBorders>
            <w:vAlign w:val="top"/>
          </w:tcPr>
          <w:p w14:paraId="23F3F0A0">
            <w:pPr>
              <w:spacing w:before="102" w:line="187" w:lineRule="auto"/>
              <w:ind w:left="949"/>
              <w:jc w:val="both"/>
              <w:rPr>
                <w:rFonts w:hint="eastAsia" w:ascii="宋体" w:hAnsi="宋体" w:eastAsia="宋体" w:cs="宋体"/>
                <w:sz w:val="18"/>
                <w:szCs w:val="18"/>
              </w:rPr>
            </w:pPr>
            <w:r>
              <w:rPr>
                <w:rFonts w:hint="eastAsia" w:ascii="宋体" w:hAnsi="宋体" w:eastAsia="宋体" w:cs="宋体"/>
                <w:color w:val="231F20"/>
                <w:spacing w:val="15"/>
                <w:sz w:val="18"/>
                <w:szCs w:val="18"/>
              </w:rPr>
              <w:t>附加信息代码</w:t>
            </w:r>
          </w:p>
        </w:tc>
      </w:tr>
      <w:tr w14:paraId="3ACCE53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56" w:hRule="atLeast"/>
        </w:trPr>
        <w:tc>
          <w:tcPr>
            <w:tcW w:w="2384" w:type="dxa"/>
            <w:tcBorders>
              <w:bottom w:val="single" w:color="231F20" w:sz="2" w:space="0"/>
              <w:right w:val="single" w:color="231F20" w:sz="2" w:space="0"/>
            </w:tcBorders>
            <w:vAlign w:val="top"/>
          </w:tcPr>
          <w:p w14:paraId="5FE14B65">
            <w:pPr>
              <w:spacing w:before="99" w:line="185" w:lineRule="auto"/>
              <w:jc w:val="center"/>
              <w:rPr>
                <w:rFonts w:hint="eastAsia" w:ascii="宋体" w:hAnsi="宋体" w:eastAsia="宋体" w:cs="宋体"/>
                <w:sz w:val="18"/>
                <w:szCs w:val="18"/>
              </w:rPr>
            </w:pPr>
            <w:r>
              <w:rPr>
                <w:rFonts w:hint="eastAsia" w:ascii="宋体" w:hAnsi="宋体" w:eastAsia="宋体" w:cs="宋体"/>
                <w:color w:val="231F20"/>
                <w:spacing w:val="13"/>
                <w:sz w:val="18"/>
                <w:szCs w:val="18"/>
              </w:rPr>
              <w:t>指示符</w:t>
            </w:r>
          </w:p>
        </w:tc>
        <w:tc>
          <w:tcPr>
            <w:tcW w:w="4020" w:type="dxa"/>
            <w:tcBorders>
              <w:left w:val="single" w:color="231F20" w:sz="2" w:space="0"/>
              <w:bottom w:val="single" w:color="231F20" w:sz="2" w:space="0"/>
              <w:right w:val="single" w:color="231F20" w:sz="2" w:space="0"/>
            </w:tcBorders>
            <w:vAlign w:val="top"/>
          </w:tcPr>
          <w:p w14:paraId="24E26132">
            <w:pPr>
              <w:pStyle w:val="55"/>
              <w:spacing w:before="95" w:line="204" w:lineRule="auto"/>
              <w:jc w:val="center"/>
              <w:rPr>
                <w:rFonts w:hint="eastAsia" w:ascii="宋体" w:hAnsi="宋体" w:eastAsia="宋体" w:cs="宋体"/>
                <w:sz w:val="18"/>
                <w:szCs w:val="18"/>
              </w:rPr>
            </w:pPr>
            <w:r>
              <w:rPr>
                <w:rFonts w:hint="eastAsia" w:ascii="宋体" w:hAnsi="宋体" w:eastAsia="宋体" w:cs="宋体"/>
                <w:color w:val="231F20"/>
                <w:spacing w:val="27"/>
                <w:sz w:val="18"/>
                <w:szCs w:val="18"/>
              </w:rPr>
              <w:t>厂商识别代码+商品项目代码+校验码</w:t>
            </w:r>
          </w:p>
        </w:tc>
        <w:tc>
          <w:tcPr>
            <w:tcW w:w="2943" w:type="dxa"/>
            <w:tcBorders>
              <w:left w:val="single" w:color="231F20" w:sz="2" w:space="0"/>
              <w:bottom w:val="single" w:color="231F20" w:sz="2" w:space="0"/>
            </w:tcBorders>
            <w:vAlign w:val="top"/>
          </w:tcPr>
          <w:p w14:paraId="5888DF1C">
            <w:pPr>
              <w:pStyle w:val="55"/>
              <w:spacing w:before="94" w:line="204" w:lineRule="auto"/>
              <w:jc w:val="center"/>
              <w:rPr>
                <w:rFonts w:hint="eastAsia" w:ascii="宋体" w:hAnsi="宋体" w:eastAsia="宋体" w:cs="宋体"/>
                <w:sz w:val="18"/>
                <w:szCs w:val="18"/>
              </w:rPr>
            </w:pPr>
            <w:r>
              <w:rPr>
                <w:rFonts w:hint="eastAsia" w:ascii="宋体" w:hAnsi="宋体" w:eastAsia="宋体" w:cs="宋体"/>
                <w:color w:val="231F20"/>
                <w:spacing w:val="25"/>
                <w:sz w:val="18"/>
                <w:szCs w:val="18"/>
              </w:rPr>
              <w:t>应用标识符+数据字段</w:t>
            </w:r>
          </w:p>
        </w:tc>
      </w:tr>
      <w:tr w14:paraId="2155C8A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61" w:hRule="atLeast"/>
        </w:trPr>
        <w:tc>
          <w:tcPr>
            <w:tcW w:w="2384" w:type="dxa"/>
            <w:tcBorders>
              <w:top w:val="single" w:color="231F20" w:sz="2" w:space="0"/>
              <w:right w:val="single" w:color="231F20" w:sz="2" w:space="0"/>
            </w:tcBorders>
            <w:vAlign w:val="top"/>
          </w:tcPr>
          <w:p w14:paraId="264D6DDA">
            <w:pPr>
              <w:pStyle w:val="55"/>
              <w:spacing w:before="128" w:line="202" w:lineRule="auto"/>
              <w:ind w:left="1125"/>
              <w:rPr>
                <w:rFonts w:hint="eastAsia" w:ascii="宋体" w:hAnsi="宋体" w:eastAsia="宋体" w:cs="宋体"/>
                <w:sz w:val="18"/>
                <w:szCs w:val="18"/>
              </w:rPr>
            </w:pPr>
            <w:r>
              <w:rPr>
                <w:rFonts w:hint="eastAsia" w:ascii="宋体" w:hAnsi="宋体" w:eastAsia="宋体" w:cs="宋体"/>
                <w:color w:val="231F20"/>
                <w:spacing w:val="10"/>
                <w:sz w:val="18"/>
                <w:szCs w:val="18"/>
              </w:rPr>
              <w:t>V</w:t>
            </w:r>
          </w:p>
        </w:tc>
        <w:tc>
          <w:tcPr>
            <w:tcW w:w="4020" w:type="dxa"/>
            <w:tcBorders>
              <w:top w:val="single" w:color="231F20" w:sz="2" w:space="0"/>
              <w:left w:val="single" w:color="231F20" w:sz="2" w:space="0"/>
              <w:right w:val="single" w:color="231F20" w:sz="2" w:space="0"/>
            </w:tcBorders>
            <w:vAlign w:val="top"/>
          </w:tcPr>
          <w:p w14:paraId="7C7ED9DD">
            <w:pPr>
              <w:pStyle w:val="55"/>
              <w:spacing w:before="128" w:line="235" w:lineRule="auto"/>
              <w:ind w:left="695"/>
              <w:rPr>
                <w:rFonts w:hint="eastAsia" w:ascii="宋体" w:hAnsi="宋体" w:eastAsia="宋体" w:cs="宋体"/>
                <w:sz w:val="18"/>
                <w:szCs w:val="18"/>
              </w:rPr>
            </w:pP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13</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12</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11</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10</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9</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8</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7</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6</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5</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4</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3</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2</w:t>
            </w:r>
            <w:r>
              <w:rPr>
                <w:rFonts w:hint="eastAsia" w:ascii="宋体" w:hAnsi="宋体" w:eastAsia="宋体" w:cs="宋体"/>
                <w:color w:val="231F20"/>
                <w:spacing w:val="12"/>
                <w:position w:val="1"/>
                <w:sz w:val="18"/>
                <w:szCs w:val="18"/>
              </w:rPr>
              <w:t>N</w:t>
            </w:r>
            <w:r>
              <w:rPr>
                <w:rFonts w:hint="eastAsia" w:ascii="宋体" w:hAnsi="宋体" w:eastAsia="宋体" w:cs="宋体"/>
                <w:color w:val="231F20"/>
                <w:spacing w:val="12"/>
                <w:position w:val="-1"/>
                <w:sz w:val="18"/>
                <w:szCs w:val="18"/>
                <w:vertAlign w:val="subscript"/>
              </w:rPr>
              <w:t>1</w:t>
            </w:r>
          </w:p>
        </w:tc>
        <w:tc>
          <w:tcPr>
            <w:tcW w:w="2943" w:type="dxa"/>
            <w:tcBorders>
              <w:top w:val="single" w:color="231F20" w:sz="2" w:space="0"/>
              <w:left w:val="single" w:color="231F20" w:sz="2" w:space="0"/>
            </w:tcBorders>
            <w:vAlign w:val="top"/>
          </w:tcPr>
          <w:p w14:paraId="7A9EE944">
            <w:pPr>
              <w:pStyle w:val="55"/>
              <w:spacing w:before="128" w:line="212" w:lineRule="auto"/>
              <w:ind w:left="1215"/>
              <w:rPr>
                <w:rFonts w:hint="eastAsia" w:ascii="宋体" w:hAnsi="宋体" w:eastAsia="宋体" w:cs="宋体"/>
                <w:sz w:val="18"/>
                <w:szCs w:val="18"/>
              </w:rPr>
            </w:pPr>
            <w:r>
              <w:rPr>
                <w:rFonts w:hint="eastAsia" w:ascii="宋体" w:hAnsi="宋体" w:eastAsia="宋体" w:cs="宋体"/>
                <w:color w:val="231F20"/>
                <w:spacing w:val="20"/>
                <w:position w:val="1"/>
                <w:sz w:val="18"/>
                <w:szCs w:val="18"/>
              </w:rPr>
              <w:t>X</w:t>
            </w:r>
            <w:r>
              <w:rPr>
                <w:rFonts w:hint="eastAsia" w:ascii="宋体" w:hAnsi="宋体" w:eastAsia="宋体" w:cs="宋体"/>
                <w:color w:val="231F20"/>
                <w:spacing w:val="20"/>
                <w:position w:val="-1"/>
                <w:sz w:val="18"/>
                <w:szCs w:val="18"/>
                <w:vertAlign w:val="subscript"/>
              </w:rPr>
              <w:t>1</w:t>
            </w:r>
            <w:r>
              <w:rPr>
                <w:rFonts w:hint="eastAsia" w:ascii="宋体" w:hAnsi="宋体" w:eastAsia="宋体" w:cs="宋体"/>
                <w:color w:val="231F20"/>
                <w:spacing w:val="20"/>
                <w:position w:val="1"/>
                <w:sz w:val="18"/>
                <w:szCs w:val="18"/>
              </w:rPr>
              <w:t>…</w:t>
            </w:r>
            <w:r>
              <w:rPr>
                <w:rFonts w:hint="eastAsia" w:ascii="宋体" w:hAnsi="宋体" w:eastAsia="宋体" w:cs="宋体"/>
                <w:color w:val="231F20"/>
                <w:position w:val="1"/>
                <w:sz w:val="18"/>
                <w:szCs w:val="18"/>
              </w:rPr>
              <w:t>X</w:t>
            </w:r>
            <w:r>
              <w:rPr>
                <w:rFonts w:hint="eastAsia" w:ascii="宋体" w:hAnsi="宋体" w:eastAsia="宋体" w:cs="宋体"/>
                <w:i/>
                <w:iCs/>
                <w:color w:val="231F20"/>
                <w:position w:val="-1"/>
                <w:sz w:val="18"/>
                <w:szCs w:val="18"/>
                <w:vertAlign w:val="subscript"/>
              </w:rPr>
              <w:t>j</w:t>
            </w:r>
          </w:p>
        </w:tc>
      </w:tr>
      <w:tr w14:paraId="0706D0A0">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931" w:hRule="atLeast"/>
        </w:trPr>
        <w:tc>
          <w:tcPr>
            <w:tcW w:w="9347" w:type="dxa"/>
            <w:gridSpan w:val="3"/>
            <w:vAlign w:val="top"/>
          </w:tcPr>
          <w:p w14:paraId="0CFB2DDB">
            <w:pPr>
              <w:pStyle w:val="55"/>
              <w:spacing w:before="99" w:line="211" w:lineRule="auto"/>
              <w:ind w:left="458"/>
              <w:rPr>
                <w:rFonts w:hint="eastAsia" w:ascii="宋体" w:hAnsi="宋体" w:eastAsia="宋体" w:cs="宋体"/>
                <w:sz w:val="18"/>
                <w:szCs w:val="18"/>
              </w:rPr>
            </w:pPr>
            <w:r>
              <w:rPr>
                <w:rFonts w:hint="eastAsia" w:ascii="宋体" w:hAnsi="宋体" w:eastAsia="宋体" w:cs="宋体"/>
                <w:color w:val="231F20"/>
                <w:spacing w:val="7"/>
                <w:sz w:val="18"/>
                <w:szCs w:val="18"/>
              </w:rPr>
              <w:t>注</w:t>
            </w:r>
            <w:r>
              <w:rPr>
                <w:rFonts w:hint="eastAsia" w:ascii="宋体" w:hAnsi="宋体" w:eastAsia="宋体" w:cs="宋体"/>
                <w:color w:val="231F20"/>
                <w:spacing w:val="-15"/>
                <w:sz w:val="18"/>
                <w:szCs w:val="18"/>
              </w:rPr>
              <w:t xml:space="preserve"> </w:t>
            </w:r>
            <w:r>
              <w:rPr>
                <w:rFonts w:hint="eastAsia" w:ascii="宋体" w:hAnsi="宋体" w:eastAsia="宋体" w:cs="宋体"/>
                <w:color w:val="231F20"/>
                <w:spacing w:val="7"/>
                <w:sz w:val="18"/>
                <w:szCs w:val="18"/>
              </w:rPr>
              <w:t>1：V 表示</w:t>
            </w:r>
            <w:r>
              <w:rPr>
                <w:rFonts w:hint="eastAsia" w:ascii="宋体" w:hAnsi="宋体" w:eastAsia="宋体" w:cs="宋体"/>
                <w:color w:val="231F20"/>
                <w:spacing w:val="-7"/>
                <w:sz w:val="18"/>
                <w:szCs w:val="18"/>
              </w:rPr>
              <w:t xml:space="preserve"> </w:t>
            </w:r>
            <w:r>
              <w:rPr>
                <w:rFonts w:hint="eastAsia" w:ascii="宋体" w:hAnsi="宋体" w:eastAsia="宋体" w:cs="宋体"/>
                <w:color w:val="231F20"/>
                <w:spacing w:val="7"/>
                <w:sz w:val="18"/>
                <w:szCs w:val="18"/>
              </w:rPr>
              <w:t>0～9 的任意数字字符</w:t>
            </w:r>
            <w:r>
              <w:rPr>
                <w:rFonts w:hint="eastAsia" w:ascii="宋体" w:hAnsi="宋体" w:eastAsia="宋体" w:cs="宋体"/>
                <w:color w:val="231F20"/>
                <w:spacing w:val="-26"/>
                <w:sz w:val="18"/>
                <w:szCs w:val="18"/>
              </w:rPr>
              <w:t xml:space="preserve"> </w:t>
            </w:r>
            <w:r>
              <w:rPr>
                <w:rFonts w:hint="eastAsia" w:ascii="宋体" w:hAnsi="宋体" w:eastAsia="宋体" w:cs="宋体"/>
                <w:color w:val="231F20"/>
                <w:spacing w:val="7"/>
                <w:sz w:val="18"/>
                <w:szCs w:val="18"/>
              </w:rPr>
              <w:t>。</w:t>
            </w:r>
          </w:p>
          <w:p w14:paraId="5C0C9E44">
            <w:pPr>
              <w:pStyle w:val="55"/>
              <w:spacing w:before="43" w:line="211" w:lineRule="auto"/>
              <w:ind w:left="458"/>
              <w:rPr>
                <w:rFonts w:hint="eastAsia" w:ascii="宋体" w:hAnsi="宋体" w:eastAsia="宋体" w:cs="宋体"/>
                <w:sz w:val="18"/>
                <w:szCs w:val="18"/>
              </w:rPr>
            </w:pPr>
            <w:r>
              <w:rPr>
                <w:rFonts w:hint="eastAsia" w:ascii="宋体" w:hAnsi="宋体" w:eastAsia="宋体" w:cs="宋体"/>
                <w:color w:val="231F20"/>
                <w:spacing w:val="8"/>
                <w:sz w:val="18"/>
                <w:szCs w:val="18"/>
              </w:rPr>
              <w:t>注</w:t>
            </w:r>
            <w:r>
              <w:rPr>
                <w:rFonts w:hint="eastAsia" w:ascii="宋体" w:hAnsi="宋体" w:eastAsia="宋体" w:cs="宋体"/>
                <w:color w:val="231F20"/>
                <w:spacing w:val="-34"/>
                <w:sz w:val="18"/>
                <w:szCs w:val="18"/>
              </w:rPr>
              <w:t xml:space="preserve"> </w:t>
            </w:r>
            <w:r>
              <w:rPr>
                <w:rFonts w:hint="eastAsia" w:ascii="宋体" w:hAnsi="宋体" w:eastAsia="宋体" w:cs="宋体"/>
                <w:color w:val="231F20"/>
                <w:spacing w:val="8"/>
                <w:sz w:val="18"/>
                <w:szCs w:val="18"/>
              </w:rPr>
              <w:t>2：N 表示</w:t>
            </w:r>
            <w:r>
              <w:rPr>
                <w:rFonts w:hint="eastAsia" w:ascii="宋体" w:hAnsi="宋体" w:eastAsia="宋体" w:cs="宋体"/>
                <w:color w:val="231F20"/>
                <w:spacing w:val="-7"/>
                <w:sz w:val="18"/>
                <w:szCs w:val="18"/>
              </w:rPr>
              <w:t xml:space="preserve"> </w:t>
            </w:r>
            <w:r>
              <w:rPr>
                <w:rFonts w:hint="eastAsia" w:ascii="宋体" w:hAnsi="宋体" w:eastAsia="宋体" w:cs="宋体"/>
                <w:color w:val="231F20"/>
                <w:spacing w:val="7"/>
                <w:sz w:val="18"/>
                <w:szCs w:val="18"/>
              </w:rPr>
              <w:t>0～9</w:t>
            </w:r>
            <w:r>
              <w:rPr>
                <w:rFonts w:hint="eastAsia" w:ascii="宋体" w:hAnsi="宋体" w:eastAsia="宋体" w:cs="宋体"/>
                <w:color w:val="231F20"/>
                <w:spacing w:val="8"/>
                <w:sz w:val="18"/>
                <w:szCs w:val="18"/>
              </w:rPr>
              <w:t xml:space="preserve"> 的任意数字字符</w:t>
            </w:r>
            <w:r>
              <w:rPr>
                <w:rFonts w:hint="eastAsia" w:ascii="宋体" w:hAnsi="宋体" w:eastAsia="宋体" w:cs="宋体"/>
                <w:color w:val="231F20"/>
                <w:spacing w:val="-26"/>
                <w:sz w:val="18"/>
                <w:szCs w:val="18"/>
              </w:rPr>
              <w:t xml:space="preserve"> </w:t>
            </w:r>
            <w:r>
              <w:rPr>
                <w:rFonts w:hint="eastAsia" w:ascii="宋体" w:hAnsi="宋体" w:eastAsia="宋体" w:cs="宋体"/>
                <w:color w:val="231F20"/>
                <w:spacing w:val="8"/>
                <w:sz w:val="18"/>
                <w:szCs w:val="18"/>
              </w:rPr>
              <w:t>。</w:t>
            </w:r>
          </w:p>
          <w:p w14:paraId="56DB1935">
            <w:pPr>
              <w:pStyle w:val="55"/>
              <w:spacing w:before="16" w:line="230" w:lineRule="auto"/>
              <w:ind w:left="458"/>
              <w:rPr>
                <w:rFonts w:hint="eastAsia" w:ascii="宋体" w:hAnsi="宋体" w:eastAsia="宋体" w:cs="宋体"/>
                <w:sz w:val="18"/>
                <w:szCs w:val="18"/>
              </w:rPr>
            </w:pPr>
            <w:r>
              <w:rPr>
                <w:rFonts w:hint="eastAsia" w:ascii="宋体" w:hAnsi="宋体" w:eastAsia="宋体" w:cs="宋体"/>
                <w:color w:val="231F20"/>
                <w:spacing w:val="6"/>
                <w:sz w:val="18"/>
                <w:szCs w:val="18"/>
              </w:rPr>
              <w:t>注</w:t>
            </w:r>
            <w:r>
              <w:rPr>
                <w:rFonts w:hint="eastAsia" w:ascii="宋体" w:hAnsi="宋体" w:eastAsia="宋体" w:cs="宋体"/>
                <w:color w:val="231F20"/>
                <w:spacing w:val="-39"/>
                <w:sz w:val="18"/>
                <w:szCs w:val="18"/>
              </w:rPr>
              <w:t xml:space="preserve"> </w:t>
            </w:r>
            <w:r>
              <w:rPr>
                <w:rFonts w:hint="eastAsia" w:ascii="宋体" w:hAnsi="宋体" w:eastAsia="宋体" w:cs="宋体"/>
                <w:color w:val="231F20"/>
                <w:spacing w:val="6"/>
                <w:sz w:val="18"/>
                <w:szCs w:val="18"/>
              </w:rPr>
              <w:t>3：X 表示任意字符，</w:t>
            </w:r>
            <w:r>
              <w:rPr>
                <w:rFonts w:hint="eastAsia" w:ascii="宋体" w:hAnsi="宋体" w:eastAsia="宋体" w:cs="宋体"/>
                <w:color w:val="231F20"/>
                <w:sz w:val="18"/>
                <w:szCs w:val="18"/>
              </w:rPr>
              <w:t>X</w:t>
            </w:r>
            <w:r>
              <w:rPr>
                <w:rFonts w:hint="eastAsia" w:ascii="宋体" w:hAnsi="宋体" w:eastAsia="宋体" w:cs="宋体"/>
                <w:i/>
                <w:iCs/>
                <w:color w:val="231F20"/>
                <w:position w:val="-2"/>
                <w:sz w:val="18"/>
                <w:szCs w:val="18"/>
              </w:rPr>
              <w:t>j</w:t>
            </w:r>
            <w:r>
              <w:rPr>
                <w:rFonts w:hint="eastAsia" w:ascii="宋体" w:hAnsi="宋体" w:eastAsia="宋体" w:cs="宋体"/>
                <w:color w:val="231F20"/>
                <w:spacing w:val="6"/>
                <w:sz w:val="18"/>
                <w:szCs w:val="18"/>
              </w:rPr>
              <w:t>（</w:t>
            </w:r>
            <w:r>
              <w:rPr>
                <w:rFonts w:hint="eastAsia" w:ascii="宋体" w:hAnsi="宋体" w:eastAsia="宋体" w:cs="宋体"/>
                <w:i/>
                <w:iCs/>
                <w:color w:val="231F20"/>
                <w:spacing w:val="6"/>
                <w:sz w:val="18"/>
                <w:szCs w:val="18"/>
              </w:rPr>
              <w:t>j</w:t>
            </w:r>
            <w:r>
              <w:rPr>
                <w:rFonts w:hint="eastAsia" w:ascii="宋体" w:hAnsi="宋体" w:eastAsia="宋体" w:cs="宋体"/>
                <w:i/>
                <w:iCs/>
                <w:color w:val="231F20"/>
                <w:spacing w:val="-10"/>
                <w:sz w:val="18"/>
                <w:szCs w:val="18"/>
              </w:rPr>
              <w:t xml:space="preserve"> </w:t>
            </w:r>
            <w:r>
              <w:rPr>
                <w:rFonts w:hint="eastAsia" w:ascii="宋体" w:hAnsi="宋体" w:eastAsia="宋体" w:cs="宋体"/>
                <w:color w:val="231F20"/>
                <w:spacing w:val="6"/>
                <w:sz w:val="18"/>
                <w:szCs w:val="18"/>
              </w:rPr>
              <w:t>为自然数）表示第</w:t>
            </w:r>
            <w:r>
              <w:rPr>
                <w:rFonts w:hint="eastAsia" w:ascii="宋体" w:hAnsi="宋体" w:eastAsia="宋体" w:cs="宋体"/>
                <w:i/>
                <w:iCs/>
                <w:color w:val="231F20"/>
                <w:spacing w:val="6"/>
                <w:sz w:val="18"/>
                <w:szCs w:val="18"/>
              </w:rPr>
              <w:t>j</w:t>
            </w:r>
            <w:r>
              <w:rPr>
                <w:rFonts w:hint="eastAsia" w:ascii="宋体" w:hAnsi="宋体" w:eastAsia="宋体" w:cs="宋体"/>
                <w:i/>
                <w:iCs/>
                <w:color w:val="231F20"/>
                <w:spacing w:val="-15"/>
                <w:sz w:val="18"/>
                <w:szCs w:val="18"/>
              </w:rPr>
              <w:t xml:space="preserve"> </w:t>
            </w:r>
            <w:r>
              <w:rPr>
                <w:rFonts w:hint="eastAsia" w:ascii="宋体" w:hAnsi="宋体" w:eastAsia="宋体" w:cs="宋体"/>
                <w:color w:val="231F20"/>
                <w:spacing w:val="6"/>
                <w:sz w:val="18"/>
                <w:szCs w:val="18"/>
              </w:rPr>
              <w:t xml:space="preserve">位，位数应符合 </w:t>
            </w:r>
            <w:r>
              <w:rPr>
                <w:rFonts w:hint="eastAsia" w:ascii="宋体" w:hAnsi="宋体" w:eastAsia="宋体" w:cs="宋体"/>
                <w:color w:val="231F20"/>
                <w:sz w:val="18"/>
                <w:szCs w:val="18"/>
              </w:rPr>
              <w:t>GB</w:t>
            </w:r>
            <w:r>
              <w:rPr>
                <w:rFonts w:hint="eastAsia" w:ascii="宋体" w:hAnsi="宋体" w:eastAsia="宋体" w:cs="宋体"/>
                <w:color w:val="231F20"/>
                <w:spacing w:val="6"/>
                <w:sz w:val="18"/>
                <w:szCs w:val="18"/>
              </w:rPr>
              <w:t>/T</w:t>
            </w:r>
            <w:r>
              <w:rPr>
                <w:rFonts w:hint="eastAsia" w:ascii="宋体" w:hAnsi="宋体" w:eastAsia="宋体" w:cs="宋体"/>
                <w:color w:val="231F20"/>
                <w:spacing w:val="23"/>
                <w:w w:val="102"/>
                <w:sz w:val="18"/>
                <w:szCs w:val="18"/>
              </w:rPr>
              <w:t xml:space="preserve"> </w:t>
            </w:r>
            <w:r>
              <w:rPr>
                <w:rFonts w:hint="eastAsia" w:ascii="宋体" w:hAnsi="宋体" w:eastAsia="宋体" w:cs="宋体"/>
                <w:color w:val="231F20"/>
                <w:spacing w:val="6"/>
                <w:sz w:val="18"/>
                <w:szCs w:val="18"/>
              </w:rPr>
              <w:t>33</w:t>
            </w:r>
            <w:r>
              <w:rPr>
                <w:rFonts w:hint="eastAsia" w:ascii="宋体" w:hAnsi="宋体" w:eastAsia="宋体" w:cs="宋体"/>
                <w:color w:val="231F20"/>
                <w:spacing w:val="5"/>
                <w:sz w:val="18"/>
                <w:szCs w:val="18"/>
              </w:rPr>
              <w:t>993—2024 中表</w:t>
            </w:r>
            <w:r>
              <w:rPr>
                <w:rFonts w:hint="eastAsia" w:ascii="宋体" w:hAnsi="宋体" w:eastAsia="宋体" w:cs="宋体"/>
                <w:color w:val="231F20"/>
                <w:spacing w:val="-10"/>
                <w:sz w:val="18"/>
                <w:szCs w:val="18"/>
              </w:rPr>
              <w:t xml:space="preserve"> </w:t>
            </w:r>
            <w:r>
              <w:rPr>
                <w:rFonts w:hint="eastAsia" w:ascii="宋体" w:hAnsi="宋体" w:eastAsia="宋体" w:cs="宋体"/>
                <w:color w:val="231F20"/>
                <w:spacing w:val="5"/>
                <w:sz w:val="18"/>
                <w:szCs w:val="18"/>
              </w:rPr>
              <w:t>A</w:t>
            </w:r>
            <w:r>
              <w:rPr>
                <w:rFonts w:hint="eastAsia" w:ascii="宋体" w:hAnsi="宋体" w:eastAsia="宋体" w:cs="宋体"/>
                <w:color w:val="231F20"/>
                <w:spacing w:val="5"/>
                <w:sz w:val="18"/>
                <w:szCs w:val="18"/>
                <w:lang w:val="en-US" w:eastAsia="zh-CN"/>
              </w:rPr>
              <w:t>.</w:t>
            </w:r>
            <w:r>
              <w:rPr>
                <w:rFonts w:hint="eastAsia" w:ascii="宋体" w:hAnsi="宋体" w:eastAsia="宋体" w:cs="宋体"/>
                <w:color w:val="231F20"/>
                <w:spacing w:val="5"/>
                <w:sz w:val="18"/>
                <w:szCs w:val="18"/>
              </w:rPr>
              <w:t>1 的规定</w:t>
            </w:r>
            <w:r>
              <w:rPr>
                <w:rFonts w:hint="eastAsia" w:ascii="宋体" w:hAnsi="宋体" w:eastAsia="宋体" w:cs="宋体"/>
                <w:color w:val="231F20"/>
                <w:spacing w:val="-26"/>
                <w:sz w:val="18"/>
                <w:szCs w:val="18"/>
              </w:rPr>
              <w:t xml:space="preserve"> </w:t>
            </w:r>
            <w:r>
              <w:rPr>
                <w:rFonts w:hint="eastAsia" w:ascii="宋体" w:hAnsi="宋体" w:eastAsia="宋体" w:cs="宋体"/>
                <w:color w:val="231F20"/>
                <w:spacing w:val="5"/>
                <w:sz w:val="18"/>
                <w:szCs w:val="18"/>
              </w:rPr>
              <w:t>。</w:t>
            </w:r>
          </w:p>
        </w:tc>
      </w:tr>
    </w:tbl>
    <w:p w14:paraId="006A43CB">
      <w:pPr>
        <w:pStyle w:val="51"/>
        <w:spacing w:before="156" w:after="156"/>
        <w:rPr>
          <w:rFonts w:hint="eastAsia"/>
        </w:rPr>
      </w:pPr>
      <w:bookmarkStart w:id="23" w:name="bookmark26"/>
      <w:bookmarkEnd w:id="23"/>
      <w:r>
        <w:rPr>
          <w:rFonts w:hint="eastAsia"/>
        </w:rPr>
        <w:t>数据结构</w:t>
      </w:r>
    </w:p>
    <w:p w14:paraId="09D33C90">
      <w:pPr>
        <w:pStyle w:val="23"/>
        <w:rPr>
          <w:rFonts w:hint="eastAsia"/>
          <w:lang w:val="en-US" w:eastAsia="zh-CN"/>
        </w:rPr>
      </w:pPr>
      <w:r>
        <w:rPr>
          <w:rFonts w:hint="eastAsia"/>
          <w:lang w:val="en-US" w:eastAsia="zh-CN"/>
        </w:rPr>
        <w:t>富硒产品编码结构分为编码数据结构和网址数据结构，应符合下列规定。</w:t>
      </w:r>
    </w:p>
    <w:p w14:paraId="1AB023E3">
      <w:pPr>
        <w:pStyle w:val="23"/>
        <w:rPr>
          <w:rFonts w:hint="eastAsia"/>
          <w:lang w:val="en-US" w:eastAsia="zh-CN"/>
        </w:rPr>
      </w:pPr>
      <w:r>
        <w:rPr>
          <w:rFonts w:hint="eastAsia"/>
          <w:lang w:val="en-US" w:eastAsia="zh-CN"/>
        </w:rPr>
        <w:t>a)</w:t>
      </w:r>
      <w:r>
        <w:rPr>
          <w:rFonts w:hint="eastAsia"/>
        </w:rPr>
        <w:t>编码数据结构由一个或多个必选的单元数据串和可选的单元数据串按顺序组成，符合GB/T 33993— 2024中5.2的规定；每个单元数据串由GS1应用标识符和对应的数据字段组成，GS1应用标识符的使用应符合GB/T</w:t>
      </w:r>
      <w:r>
        <w:rPr>
          <w:rFonts w:hint="eastAsia"/>
          <w:lang w:val="en-US" w:eastAsia="zh-CN"/>
        </w:rPr>
        <w:t xml:space="preserve"> </w:t>
      </w:r>
      <w:r>
        <w:rPr>
          <w:rFonts w:hint="eastAsia"/>
        </w:rPr>
        <w:t>16986的规定；编码数据结构组</w:t>
      </w:r>
      <w:r>
        <w:rPr>
          <w:rFonts w:hint="eastAsia"/>
          <w:lang w:val="en-US" w:eastAsia="zh-CN"/>
        </w:rPr>
        <w:t>成应符合图1的规定。</w:t>
      </w:r>
    </w:p>
    <w:p w14:paraId="43E74421">
      <w:pPr>
        <w:pStyle w:val="8"/>
        <w:spacing w:before="289" w:line="191" w:lineRule="exact"/>
        <w:ind w:left="800"/>
        <w:rPr>
          <w:rFonts w:ascii="Times New Roman" w:hAnsi="Times New Roman" w:eastAsia="Times New Roman" w:cs="Times New Roman"/>
          <w:sz w:val="9"/>
          <w:szCs w:val="9"/>
        </w:rPr>
      </w:pPr>
      <w:r>
        <w:rPr>
          <w:rFonts w:ascii="微软雅黑" w:hAnsi="微软雅黑" w:eastAsia="微软雅黑" w:cs="微软雅黑"/>
          <w:color w:val="2C292A"/>
          <w:spacing w:val="-4"/>
          <w:sz w:val="18"/>
          <w:szCs w:val="18"/>
        </w:rPr>
        <w:t>(01)</w:t>
      </w:r>
      <w:r>
        <w:rPr>
          <w:rFonts w:ascii="微软雅黑" w:hAnsi="微软雅黑" w:eastAsia="微软雅黑" w:cs="微软雅黑"/>
          <w:color w:val="2C292A"/>
          <w:spacing w:val="3"/>
          <w:sz w:val="18"/>
          <w:szCs w:val="18"/>
        </w:rPr>
        <w:t xml:space="preserve">   </w:t>
      </w:r>
      <w:r>
        <w:rPr>
          <w:rFonts w:ascii="微软雅黑" w:hAnsi="微软雅黑" w:eastAsia="微软雅黑" w:cs="微软雅黑"/>
          <w:color w:val="2C292A"/>
          <w:spacing w:val="-4"/>
          <w:sz w:val="18"/>
          <w:szCs w:val="18"/>
        </w:rPr>
        <w:t>N</w:t>
      </w:r>
      <w:r>
        <w:rPr>
          <w:color w:val="2C292A"/>
          <w:spacing w:val="-4"/>
          <w:position w:val="-2"/>
          <w:sz w:val="10"/>
          <w:szCs w:val="10"/>
        </w:rPr>
        <w:t>14</w:t>
      </w:r>
      <w:r>
        <w:rPr>
          <w:rFonts w:ascii="微软雅黑" w:hAnsi="微软雅黑" w:eastAsia="微软雅黑" w:cs="微软雅黑"/>
          <w:color w:val="2C292A"/>
          <w:spacing w:val="-4"/>
          <w:sz w:val="18"/>
          <w:szCs w:val="18"/>
        </w:rPr>
        <w:t>N</w:t>
      </w:r>
      <w:r>
        <w:rPr>
          <w:color w:val="2C292A"/>
          <w:spacing w:val="-4"/>
          <w:position w:val="-2"/>
          <w:sz w:val="10"/>
          <w:szCs w:val="10"/>
        </w:rPr>
        <w:t>13</w:t>
      </w:r>
      <w:r>
        <w:rPr>
          <w:rFonts w:ascii="微软雅黑" w:hAnsi="微软雅黑" w:eastAsia="微软雅黑" w:cs="微软雅黑"/>
          <w:color w:val="2C292A"/>
          <w:spacing w:val="-4"/>
          <w:sz w:val="18"/>
          <w:szCs w:val="18"/>
        </w:rPr>
        <w:t>N</w:t>
      </w:r>
      <w:r>
        <w:rPr>
          <w:color w:val="2C292A"/>
          <w:spacing w:val="-4"/>
          <w:position w:val="-2"/>
          <w:sz w:val="10"/>
          <w:szCs w:val="10"/>
        </w:rPr>
        <w:t>12</w:t>
      </w:r>
      <w:r>
        <w:rPr>
          <w:rFonts w:ascii="微软雅黑" w:hAnsi="微软雅黑" w:eastAsia="微软雅黑" w:cs="微软雅黑"/>
          <w:color w:val="2C292A"/>
          <w:spacing w:val="-4"/>
          <w:sz w:val="18"/>
          <w:szCs w:val="18"/>
        </w:rPr>
        <w:t>N</w:t>
      </w:r>
      <w:r>
        <w:rPr>
          <w:color w:val="2C292A"/>
          <w:spacing w:val="-4"/>
          <w:position w:val="-2"/>
          <w:sz w:val="10"/>
          <w:szCs w:val="10"/>
        </w:rPr>
        <w:t>11</w:t>
      </w:r>
      <w:r>
        <w:rPr>
          <w:rFonts w:ascii="微软雅黑" w:hAnsi="微软雅黑" w:eastAsia="微软雅黑" w:cs="微软雅黑"/>
          <w:color w:val="2C292A"/>
          <w:spacing w:val="-20"/>
          <w:sz w:val="18"/>
          <w:szCs w:val="18"/>
        </w:rPr>
        <w:t>N</w:t>
      </w:r>
      <w:r>
        <w:rPr>
          <w:color w:val="2C292A"/>
          <w:spacing w:val="-4"/>
          <w:position w:val="-2"/>
          <w:sz w:val="10"/>
          <w:szCs w:val="10"/>
        </w:rPr>
        <w:t>10</w:t>
      </w:r>
      <w:r>
        <w:rPr>
          <w:rFonts w:ascii="微软雅黑" w:hAnsi="微软雅黑" w:eastAsia="微软雅黑" w:cs="微软雅黑"/>
          <w:color w:val="2C292A"/>
          <w:spacing w:val="-26"/>
          <w:sz w:val="18"/>
          <w:szCs w:val="18"/>
        </w:rPr>
        <w:t>N</w:t>
      </w:r>
      <w:r>
        <w:rPr>
          <w:color w:val="2C292A"/>
          <w:spacing w:val="-3"/>
          <w:position w:val="-2"/>
          <w:sz w:val="10"/>
          <w:szCs w:val="10"/>
        </w:rPr>
        <w:t>9</w:t>
      </w:r>
      <w:r>
        <w:rPr>
          <w:rFonts w:ascii="微软雅黑" w:hAnsi="微软雅黑" w:eastAsia="微软雅黑" w:cs="微软雅黑"/>
          <w:color w:val="2C292A"/>
          <w:spacing w:val="-27"/>
          <w:sz w:val="18"/>
          <w:szCs w:val="18"/>
        </w:rPr>
        <w:t>N</w:t>
      </w:r>
      <w:r>
        <w:rPr>
          <w:color w:val="2C292A"/>
          <w:spacing w:val="-4"/>
          <w:position w:val="-2"/>
          <w:sz w:val="10"/>
          <w:szCs w:val="10"/>
        </w:rPr>
        <w:t>8</w:t>
      </w:r>
      <w:r>
        <w:rPr>
          <w:rFonts w:ascii="微软雅黑" w:hAnsi="微软雅黑" w:eastAsia="微软雅黑" w:cs="微软雅黑"/>
          <w:color w:val="2C292A"/>
          <w:spacing w:val="-27"/>
          <w:sz w:val="18"/>
          <w:szCs w:val="18"/>
        </w:rPr>
        <w:t>N</w:t>
      </w:r>
      <w:r>
        <w:rPr>
          <w:color w:val="2C292A"/>
          <w:spacing w:val="-3"/>
          <w:position w:val="-2"/>
          <w:sz w:val="10"/>
          <w:szCs w:val="10"/>
        </w:rPr>
        <w:t>7</w:t>
      </w:r>
      <w:r>
        <w:rPr>
          <w:rFonts w:ascii="微软雅黑" w:hAnsi="微软雅黑" w:eastAsia="微软雅黑" w:cs="微软雅黑"/>
          <w:color w:val="2C292A"/>
          <w:spacing w:val="-27"/>
          <w:sz w:val="18"/>
          <w:szCs w:val="18"/>
        </w:rPr>
        <w:t>N</w:t>
      </w:r>
      <w:r>
        <w:rPr>
          <w:color w:val="2C292A"/>
          <w:spacing w:val="-3"/>
          <w:position w:val="-2"/>
          <w:sz w:val="10"/>
          <w:szCs w:val="10"/>
        </w:rPr>
        <w:t>6</w:t>
      </w:r>
      <w:r>
        <w:rPr>
          <w:rFonts w:ascii="微软雅黑" w:hAnsi="微软雅黑" w:eastAsia="微软雅黑" w:cs="微软雅黑"/>
          <w:color w:val="2C292A"/>
          <w:spacing w:val="-27"/>
          <w:sz w:val="18"/>
          <w:szCs w:val="18"/>
        </w:rPr>
        <w:t>N</w:t>
      </w:r>
      <w:r>
        <w:rPr>
          <w:color w:val="2C292A"/>
          <w:spacing w:val="-4"/>
          <w:position w:val="-2"/>
          <w:sz w:val="10"/>
          <w:szCs w:val="10"/>
        </w:rPr>
        <w:t>5</w:t>
      </w:r>
      <w:r>
        <w:rPr>
          <w:rFonts w:ascii="微软雅黑" w:hAnsi="微软雅黑" w:eastAsia="微软雅黑" w:cs="微软雅黑"/>
          <w:color w:val="2C292A"/>
          <w:spacing w:val="-27"/>
          <w:sz w:val="18"/>
          <w:szCs w:val="18"/>
        </w:rPr>
        <w:t>N</w:t>
      </w:r>
      <w:r>
        <w:rPr>
          <w:color w:val="2C292A"/>
          <w:spacing w:val="-2"/>
          <w:w w:val="98"/>
          <w:position w:val="-2"/>
          <w:sz w:val="10"/>
          <w:szCs w:val="10"/>
        </w:rPr>
        <w:t>4</w:t>
      </w:r>
      <w:r>
        <w:rPr>
          <w:rFonts w:ascii="微软雅黑" w:hAnsi="微软雅黑" w:eastAsia="微软雅黑" w:cs="微软雅黑"/>
          <w:color w:val="2C292A"/>
          <w:spacing w:val="-27"/>
          <w:sz w:val="18"/>
          <w:szCs w:val="18"/>
        </w:rPr>
        <w:t>N</w:t>
      </w:r>
      <w:r>
        <w:rPr>
          <w:color w:val="2C292A"/>
          <w:spacing w:val="-3"/>
          <w:position w:val="-2"/>
          <w:sz w:val="10"/>
          <w:szCs w:val="10"/>
        </w:rPr>
        <w:t>3</w:t>
      </w:r>
      <w:r>
        <w:rPr>
          <w:rFonts w:ascii="微软雅黑" w:hAnsi="微软雅黑" w:eastAsia="微软雅黑" w:cs="微软雅黑"/>
          <w:color w:val="2C292A"/>
          <w:spacing w:val="-27"/>
          <w:sz w:val="18"/>
          <w:szCs w:val="18"/>
        </w:rPr>
        <w:t>N</w:t>
      </w:r>
      <w:r>
        <w:rPr>
          <w:color w:val="2C292A"/>
          <w:spacing w:val="-4"/>
          <w:position w:val="-2"/>
          <w:sz w:val="10"/>
          <w:szCs w:val="10"/>
        </w:rPr>
        <w:t>2</w:t>
      </w:r>
      <w:r>
        <w:rPr>
          <w:rFonts w:ascii="微软雅黑" w:hAnsi="微软雅黑" w:eastAsia="微软雅黑" w:cs="微软雅黑"/>
          <w:color w:val="2C292A"/>
          <w:spacing w:val="-26"/>
          <w:sz w:val="18"/>
          <w:szCs w:val="18"/>
        </w:rPr>
        <w:t>N</w:t>
      </w:r>
      <w:r>
        <w:rPr>
          <w:color w:val="2C292A"/>
          <w:spacing w:val="-2"/>
          <w:position w:val="-2"/>
          <w:sz w:val="10"/>
          <w:szCs w:val="10"/>
        </w:rPr>
        <w:t xml:space="preserve">1     </w:t>
      </w:r>
      <w:r>
        <w:rPr>
          <w:rFonts w:ascii="微软雅黑" w:hAnsi="微软雅黑" w:eastAsia="微软雅黑" w:cs="微软雅黑"/>
          <w:color w:val="2C292A"/>
          <w:spacing w:val="-30"/>
          <w:sz w:val="18"/>
          <w:szCs w:val="18"/>
        </w:rPr>
        <w:t>(AⅠ</w:t>
      </w:r>
      <w:r>
        <w:rPr>
          <w:color w:val="2C292A"/>
          <w:spacing w:val="6"/>
          <w:position w:val="-2"/>
          <w:sz w:val="10"/>
          <w:szCs w:val="10"/>
        </w:rPr>
        <w:t>1</w:t>
      </w:r>
      <w:r>
        <w:rPr>
          <w:color w:val="2C292A"/>
          <w:spacing w:val="23"/>
          <w:w w:val="102"/>
          <w:position w:val="-2"/>
          <w:sz w:val="10"/>
          <w:szCs w:val="10"/>
        </w:rPr>
        <w:t xml:space="preserve"> </w:t>
      </w:r>
      <w:r>
        <w:rPr>
          <w:rFonts w:ascii="微软雅黑" w:hAnsi="微软雅黑" w:eastAsia="微软雅黑" w:cs="微软雅黑"/>
          <w:color w:val="2C292A"/>
          <w:spacing w:val="6"/>
          <w:sz w:val="18"/>
          <w:szCs w:val="18"/>
        </w:rPr>
        <w:t>)X</w:t>
      </w:r>
      <w:r>
        <w:rPr>
          <w:color w:val="2C292A"/>
          <w:spacing w:val="6"/>
          <w:position w:val="-2"/>
          <w:sz w:val="10"/>
          <w:szCs w:val="10"/>
        </w:rPr>
        <w:t>1</w:t>
      </w:r>
      <w:r>
        <w:rPr>
          <w:rFonts w:ascii="微软雅黑" w:hAnsi="微软雅黑" w:eastAsia="微软雅黑" w:cs="微软雅黑"/>
          <w:color w:val="2C292A"/>
          <w:spacing w:val="6"/>
          <w:sz w:val="18"/>
          <w:szCs w:val="18"/>
        </w:rPr>
        <w:t>X</w:t>
      </w:r>
      <w:r>
        <w:rPr>
          <w:color w:val="2C292A"/>
          <w:spacing w:val="6"/>
          <w:position w:val="-2"/>
          <w:sz w:val="10"/>
          <w:szCs w:val="10"/>
        </w:rPr>
        <w:t>2</w:t>
      </w:r>
      <w:r>
        <w:rPr>
          <w:rFonts w:ascii="微软雅黑" w:hAnsi="微软雅黑" w:eastAsia="微软雅黑" w:cs="微软雅黑"/>
          <w:color w:val="2C292A"/>
          <w:spacing w:val="6"/>
          <w:sz w:val="18"/>
          <w:szCs w:val="18"/>
        </w:rPr>
        <w:t>X</w:t>
      </w:r>
      <w:r>
        <w:rPr>
          <w:color w:val="2C292A"/>
          <w:spacing w:val="6"/>
          <w:position w:val="-2"/>
          <w:sz w:val="10"/>
          <w:szCs w:val="10"/>
        </w:rPr>
        <w:t>3</w:t>
      </w:r>
      <w:r>
        <w:rPr>
          <w:rFonts w:ascii="微软雅黑" w:hAnsi="微软雅黑" w:eastAsia="微软雅黑" w:cs="微软雅黑"/>
          <w:color w:val="2C292A"/>
          <w:spacing w:val="6"/>
          <w:sz w:val="18"/>
          <w:szCs w:val="18"/>
        </w:rPr>
        <w:t>…</w:t>
      </w:r>
      <w:r>
        <w:rPr>
          <w:rFonts w:ascii="微软雅黑" w:hAnsi="微软雅黑" w:eastAsia="微软雅黑" w:cs="微软雅黑"/>
          <w:color w:val="2C292A"/>
          <w:sz w:val="18"/>
          <w:szCs w:val="18"/>
        </w:rPr>
        <w:t>X</w:t>
      </w:r>
      <w:r>
        <w:rPr>
          <w:rFonts w:ascii="Times New Roman" w:hAnsi="Times New Roman" w:eastAsia="Times New Roman" w:cs="Times New Roman"/>
          <w:color w:val="2C292A"/>
          <w:position w:val="-2"/>
          <w:sz w:val="9"/>
          <w:szCs w:val="9"/>
        </w:rPr>
        <w:t>n</w:t>
      </w:r>
      <w:r>
        <w:rPr>
          <w:rFonts w:ascii="Times New Roman" w:hAnsi="Times New Roman" w:eastAsia="Times New Roman" w:cs="Times New Roman"/>
          <w:color w:val="2C292A"/>
          <w:spacing w:val="-5"/>
          <w:position w:val="-2"/>
          <w:sz w:val="9"/>
          <w:szCs w:val="9"/>
        </w:rPr>
        <w:t xml:space="preserve"> </w:t>
      </w:r>
      <w:r>
        <w:rPr>
          <w:rFonts w:ascii="微软雅黑" w:hAnsi="微软雅黑" w:eastAsia="微软雅黑" w:cs="微软雅黑"/>
          <w:color w:val="2C292A"/>
          <w:spacing w:val="6"/>
          <w:sz w:val="18"/>
          <w:szCs w:val="18"/>
        </w:rPr>
        <w:t>…</w:t>
      </w:r>
      <w:r>
        <w:rPr>
          <w:rFonts w:ascii="微软雅黑" w:hAnsi="微软雅黑" w:eastAsia="微软雅黑" w:cs="微软雅黑"/>
          <w:color w:val="2C292A"/>
          <w:spacing w:val="30"/>
          <w:w w:val="101"/>
          <w:sz w:val="18"/>
          <w:szCs w:val="18"/>
        </w:rPr>
        <w:t xml:space="preserve"> </w:t>
      </w:r>
      <w:r>
        <w:rPr>
          <w:rFonts w:ascii="微软雅黑" w:hAnsi="微软雅黑" w:eastAsia="微软雅黑" w:cs="微软雅黑"/>
          <w:color w:val="2C292A"/>
          <w:spacing w:val="6"/>
          <w:sz w:val="18"/>
          <w:szCs w:val="18"/>
        </w:rPr>
        <w:t>(AⅠ</w:t>
      </w:r>
      <w:r>
        <w:rPr>
          <w:rFonts w:ascii="Times New Roman" w:hAnsi="Times New Roman" w:eastAsia="Times New Roman" w:cs="Times New Roman"/>
          <w:color w:val="2C292A"/>
          <w:spacing w:val="6"/>
          <w:position w:val="-2"/>
          <w:sz w:val="9"/>
          <w:szCs w:val="9"/>
        </w:rPr>
        <w:t xml:space="preserve">n  </w:t>
      </w:r>
      <w:r>
        <w:rPr>
          <w:rFonts w:ascii="微软雅黑" w:hAnsi="微软雅黑" w:eastAsia="微软雅黑" w:cs="微软雅黑"/>
          <w:color w:val="2C292A"/>
          <w:spacing w:val="6"/>
          <w:sz w:val="18"/>
          <w:szCs w:val="18"/>
        </w:rPr>
        <w:t>)X</w:t>
      </w:r>
      <w:r>
        <w:rPr>
          <w:color w:val="2C292A"/>
          <w:spacing w:val="6"/>
          <w:position w:val="-2"/>
          <w:sz w:val="10"/>
          <w:szCs w:val="10"/>
        </w:rPr>
        <w:t>1</w:t>
      </w:r>
      <w:r>
        <w:rPr>
          <w:rFonts w:ascii="微软雅黑" w:hAnsi="微软雅黑" w:eastAsia="微软雅黑" w:cs="微软雅黑"/>
          <w:color w:val="2C292A"/>
          <w:spacing w:val="6"/>
          <w:sz w:val="18"/>
          <w:szCs w:val="18"/>
        </w:rPr>
        <w:t>X</w:t>
      </w:r>
      <w:r>
        <w:rPr>
          <w:color w:val="2C292A"/>
          <w:spacing w:val="6"/>
          <w:position w:val="-2"/>
          <w:sz w:val="10"/>
          <w:szCs w:val="10"/>
        </w:rPr>
        <w:t>2</w:t>
      </w:r>
      <w:r>
        <w:rPr>
          <w:rFonts w:ascii="微软雅黑" w:hAnsi="微软雅黑" w:eastAsia="微软雅黑" w:cs="微软雅黑"/>
          <w:color w:val="2C292A"/>
          <w:spacing w:val="6"/>
          <w:sz w:val="18"/>
          <w:szCs w:val="18"/>
        </w:rPr>
        <w:t>X</w:t>
      </w:r>
      <w:r>
        <w:rPr>
          <w:color w:val="2C292A"/>
          <w:spacing w:val="6"/>
          <w:position w:val="-2"/>
          <w:sz w:val="10"/>
          <w:szCs w:val="10"/>
        </w:rPr>
        <w:t>3</w:t>
      </w:r>
      <w:r>
        <w:rPr>
          <w:rFonts w:ascii="微软雅黑" w:hAnsi="微软雅黑" w:eastAsia="微软雅黑" w:cs="微软雅黑"/>
          <w:color w:val="2C292A"/>
          <w:spacing w:val="6"/>
          <w:sz w:val="18"/>
          <w:szCs w:val="18"/>
        </w:rPr>
        <w:t>…</w:t>
      </w:r>
      <w:r>
        <w:rPr>
          <w:rFonts w:ascii="微软雅黑" w:hAnsi="微软雅黑" w:eastAsia="微软雅黑" w:cs="微软雅黑"/>
          <w:color w:val="2C292A"/>
          <w:sz w:val="18"/>
          <w:szCs w:val="18"/>
        </w:rPr>
        <w:t>X</w:t>
      </w:r>
      <w:r>
        <w:rPr>
          <w:rFonts w:ascii="Times New Roman" w:hAnsi="Times New Roman" w:eastAsia="Times New Roman" w:cs="Times New Roman"/>
          <w:color w:val="2C292A"/>
          <w:position w:val="-2"/>
          <w:sz w:val="9"/>
          <w:szCs w:val="9"/>
        </w:rPr>
        <w:t>n</w:t>
      </w:r>
    </w:p>
    <w:p w14:paraId="435F7544">
      <w:pPr>
        <w:spacing w:line="2172" w:lineRule="exact"/>
        <w:ind w:firstLine="827"/>
      </w:pPr>
      <w:r>
        <w:rPr>
          <w:position w:val="-43"/>
        </w:rPr>
        <mc:AlternateContent>
          <mc:Choice Requires="wpg">
            <w:drawing>
              <wp:anchor distT="0" distB="0" distL="114300" distR="114300" simplePos="0" relativeHeight="251659264" behindDoc="0" locked="0" layoutInCell="1" allowOverlap="1">
                <wp:simplePos x="0" y="0"/>
                <wp:positionH relativeFrom="column">
                  <wp:posOffset>530225</wp:posOffset>
                </wp:positionH>
                <wp:positionV relativeFrom="paragraph">
                  <wp:posOffset>43180</wp:posOffset>
                </wp:positionV>
                <wp:extent cx="4959985" cy="1518285"/>
                <wp:effectExtent l="0" t="0" r="0" b="0"/>
                <wp:wrapNone/>
                <wp:docPr id="19" name="组合 12"/>
                <wp:cNvGraphicFramePr/>
                <a:graphic xmlns:a="http://schemas.openxmlformats.org/drawingml/2006/main">
                  <a:graphicData uri="http://schemas.microsoft.com/office/word/2010/wordprocessingGroup">
                    <wpg:wgp>
                      <wpg:cNvGrpSpPr/>
                      <wpg:grpSpPr>
                        <a:xfrm>
                          <a:off x="0" y="0"/>
                          <a:ext cx="4959987" cy="1518285"/>
                          <a:chOff x="0" y="0"/>
                          <a:chExt cx="7810" cy="2391"/>
                        </a:xfrm>
                      </wpg:grpSpPr>
                      <wpg:grpSp>
                        <wpg:cNvPr id="20" name="组合 13"/>
                        <wpg:cNvGrpSpPr/>
                        <wpg:grpSpPr>
                          <a:xfrm>
                            <a:off x="0" y="0"/>
                            <a:ext cx="6410" cy="2101"/>
                            <a:chOff x="0" y="0"/>
                            <a:chExt cx="6410" cy="2101"/>
                          </a:xfrm>
                        </wpg:grpSpPr>
                        <wps:wsp>
                          <wps:cNvPr id="12" name="任意多边形 14"/>
                          <wps:cNvSpPr/>
                          <wps:spPr>
                            <a:xfrm>
                              <a:off x="0" y="0"/>
                              <a:ext cx="6410" cy="15"/>
                            </a:xfrm>
                            <a:custGeom>
                              <a:avLst/>
                              <a:gdLst/>
                              <a:ahLst/>
                              <a:cxnLst/>
                              <a:pathLst>
                                <a:path w="6410" h="15">
                                  <a:moveTo>
                                    <a:pt x="0" y="7"/>
                                  </a:moveTo>
                                  <a:lnTo>
                                    <a:pt x="405" y="7"/>
                                  </a:lnTo>
                                  <a:moveTo>
                                    <a:pt x="539" y="7"/>
                                  </a:moveTo>
                                  <a:lnTo>
                                    <a:pt x="3234" y="7"/>
                                  </a:lnTo>
                                  <a:moveTo>
                                    <a:pt x="3347" y="7"/>
                                  </a:moveTo>
                                  <a:lnTo>
                                    <a:pt x="6409" y="7"/>
                                  </a:lnTo>
                                </a:path>
                              </a:pathLst>
                            </a:custGeom>
                            <a:noFill/>
                            <a:ln w="9017" cap="flat" cmpd="sng">
                              <a:solidFill>
                                <a:srgbClr val="2C292A"/>
                              </a:solidFill>
                              <a:prstDash val="solid"/>
                              <a:miter lim="400000"/>
                              <a:headEnd type="none" w="med" len="med"/>
                              <a:tailEnd type="none" w="med" len="med"/>
                            </a:ln>
                          </wps:spPr>
                          <wps:bodyPr upright="1"/>
                        </wps:wsp>
                        <wps:wsp>
                          <wps:cNvPr id="14" name="任意多边形 15"/>
                          <wps:cNvSpPr/>
                          <wps:spPr>
                            <a:xfrm>
                              <a:off x="199" y="7"/>
                              <a:ext cx="5990" cy="2093"/>
                            </a:xfrm>
                            <a:custGeom>
                              <a:avLst/>
                              <a:gdLst/>
                              <a:ahLst/>
                              <a:cxnLst/>
                              <a:pathLst>
                                <a:path w="5990" h="2093">
                                  <a:moveTo>
                                    <a:pt x="2" y="0"/>
                                  </a:moveTo>
                                  <a:lnTo>
                                    <a:pt x="2" y="2090"/>
                                  </a:lnTo>
                                  <a:lnTo>
                                    <a:pt x="5989" y="2090"/>
                                  </a:lnTo>
                                  <a:moveTo>
                                    <a:pt x="1705" y="0"/>
                                  </a:moveTo>
                                  <a:lnTo>
                                    <a:pt x="1705" y="1802"/>
                                  </a:lnTo>
                                  <a:lnTo>
                                    <a:pt x="5989" y="1802"/>
                                  </a:lnTo>
                                  <a:moveTo>
                                    <a:pt x="3191" y="0"/>
                                  </a:moveTo>
                                  <a:lnTo>
                                    <a:pt x="3191" y="1535"/>
                                  </a:lnTo>
                                  <a:lnTo>
                                    <a:pt x="5989" y="1535"/>
                                  </a:lnTo>
                                </a:path>
                              </a:pathLst>
                            </a:custGeom>
                            <a:noFill/>
                            <a:ln w="3810" cap="flat" cmpd="sng">
                              <a:solidFill>
                                <a:srgbClr val="2C292A"/>
                              </a:solidFill>
                              <a:prstDash val="solid"/>
                              <a:miter lim="400000"/>
                              <a:headEnd type="none" w="med" len="med"/>
                              <a:tailEnd type="none" w="med" len="med"/>
                            </a:ln>
                          </wps:spPr>
                          <wps:bodyPr upright="1"/>
                        </wps:wsp>
                        <wps:wsp>
                          <wps:cNvPr id="5" name="任意多边形 16"/>
                          <wps:cNvSpPr/>
                          <wps:spPr>
                            <a:xfrm>
                              <a:off x="3511" y="58"/>
                              <a:ext cx="265" cy="15"/>
                            </a:xfrm>
                            <a:custGeom>
                              <a:avLst/>
                              <a:gdLst/>
                              <a:ahLst/>
                              <a:cxnLst/>
                              <a:pathLst>
                                <a:path w="265" h="15">
                                  <a:moveTo>
                                    <a:pt x="0" y="7"/>
                                  </a:moveTo>
                                  <a:lnTo>
                                    <a:pt x="264" y="7"/>
                                  </a:lnTo>
                                </a:path>
                              </a:pathLst>
                            </a:custGeom>
                            <a:noFill/>
                            <a:ln w="9017" cap="flat" cmpd="sng">
                              <a:solidFill>
                                <a:srgbClr val="2C292A"/>
                              </a:solidFill>
                              <a:prstDash val="solid"/>
                              <a:miter lim="400000"/>
                              <a:headEnd type="none" w="med" len="med"/>
                              <a:tailEnd type="none" w="med" len="med"/>
                            </a:ln>
                          </wps:spPr>
                          <wps:bodyPr upright="1"/>
                        </wps:wsp>
                        <wps:wsp>
                          <wps:cNvPr id="15" name="任意多边形 17"/>
                          <wps:cNvSpPr/>
                          <wps:spPr>
                            <a:xfrm>
                              <a:off x="3640" y="65"/>
                              <a:ext cx="2548" cy="1228"/>
                            </a:xfrm>
                            <a:custGeom>
                              <a:avLst/>
                              <a:gdLst/>
                              <a:ahLst/>
                              <a:cxnLst/>
                              <a:pathLst>
                                <a:path w="2548" h="1228">
                                  <a:moveTo>
                                    <a:pt x="2548" y="1224"/>
                                  </a:moveTo>
                                  <a:lnTo>
                                    <a:pt x="2" y="1224"/>
                                  </a:lnTo>
                                  <a:lnTo>
                                    <a:pt x="2" y="0"/>
                                  </a:lnTo>
                                </a:path>
                              </a:pathLst>
                            </a:custGeom>
                            <a:noFill/>
                            <a:ln w="3810" cap="flat" cmpd="sng">
                              <a:solidFill>
                                <a:srgbClr val="2C292A"/>
                              </a:solidFill>
                              <a:prstDash val="solid"/>
                              <a:miter lim="400000"/>
                              <a:headEnd type="none" w="med" len="med"/>
                              <a:tailEnd type="none" w="med" len="med"/>
                            </a:ln>
                          </wps:spPr>
                          <wps:bodyPr upright="1"/>
                        </wps:wsp>
                        <wps:wsp>
                          <wps:cNvPr id="9" name="任意多边形 18"/>
                          <wps:cNvSpPr/>
                          <wps:spPr>
                            <a:xfrm>
                              <a:off x="3856" y="58"/>
                              <a:ext cx="2513" cy="15"/>
                            </a:xfrm>
                            <a:custGeom>
                              <a:avLst/>
                              <a:gdLst/>
                              <a:ahLst/>
                              <a:cxnLst/>
                              <a:pathLst>
                                <a:path w="2513" h="15">
                                  <a:moveTo>
                                    <a:pt x="0" y="7"/>
                                  </a:moveTo>
                                  <a:lnTo>
                                    <a:pt x="879" y="7"/>
                                  </a:lnTo>
                                  <a:moveTo>
                                    <a:pt x="1164" y="7"/>
                                  </a:moveTo>
                                  <a:lnTo>
                                    <a:pt x="1519" y="7"/>
                                  </a:lnTo>
                                  <a:moveTo>
                                    <a:pt x="1649" y="7"/>
                                  </a:moveTo>
                                  <a:lnTo>
                                    <a:pt x="2513" y="7"/>
                                  </a:lnTo>
                                </a:path>
                              </a:pathLst>
                            </a:custGeom>
                            <a:noFill/>
                            <a:ln w="9017" cap="flat" cmpd="sng">
                              <a:solidFill>
                                <a:srgbClr val="2C292A"/>
                              </a:solidFill>
                              <a:prstDash val="solid"/>
                              <a:miter lim="400000"/>
                              <a:headEnd type="none" w="med" len="med"/>
                              <a:tailEnd type="none" w="med" len="med"/>
                            </a:ln>
                          </wps:spPr>
                          <wps:bodyPr upright="1"/>
                        </wps:wsp>
                        <wps:wsp>
                          <wps:cNvPr id="16" name="任意多边形 19"/>
                          <wps:cNvSpPr/>
                          <wps:spPr>
                            <a:xfrm>
                              <a:off x="4292" y="65"/>
                              <a:ext cx="1896" cy="870"/>
                            </a:xfrm>
                            <a:custGeom>
                              <a:avLst/>
                              <a:gdLst/>
                              <a:ahLst/>
                              <a:cxnLst/>
                              <a:pathLst>
                                <a:path w="1896" h="870">
                                  <a:moveTo>
                                    <a:pt x="2" y="0"/>
                                  </a:moveTo>
                                  <a:lnTo>
                                    <a:pt x="2" y="867"/>
                                  </a:lnTo>
                                  <a:lnTo>
                                    <a:pt x="1896" y="867"/>
                                  </a:lnTo>
                                  <a:moveTo>
                                    <a:pt x="922" y="0"/>
                                  </a:moveTo>
                                  <a:lnTo>
                                    <a:pt x="922" y="612"/>
                                  </a:lnTo>
                                  <a:lnTo>
                                    <a:pt x="1896" y="612"/>
                                  </a:lnTo>
                                  <a:moveTo>
                                    <a:pt x="1644" y="0"/>
                                  </a:moveTo>
                                  <a:lnTo>
                                    <a:pt x="1644" y="306"/>
                                  </a:lnTo>
                                  <a:lnTo>
                                    <a:pt x="1896" y="306"/>
                                  </a:lnTo>
                                </a:path>
                              </a:pathLst>
                            </a:custGeom>
                            <a:noFill/>
                            <a:ln w="3810" cap="flat" cmpd="sng">
                              <a:solidFill>
                                <a:srgbClr val="2C292A"/>
                              </a:solidFill>
                              <a:prstDash val="solid"/>
                              <a:miter lim="400000"/>
                              <a:headEnd type="none" w="med" len="med"/>
                              <a:tailEnd type="none" w="med" len="med"/>
                            </a:ln>
                          </wps:spPr>
                          <wps:bodyPr upright="1"/>
                        </wps:wsp>
                      </wpg:grpSp>
                      <wps:wsp>
                        <wps:cNvPr id="18" name="文本框 20"/>
                        <wps:cNvSpPr txBox="1"/>
                        <wps:spPr>
                          <a:xfrm>
                            <a:off x="6334" y="252"/>
                            <a:ext cx="1476" cy="2139"/>
                          </a:xfrm>
                          <a:prstGeom prst="rect">
                            <a:avLst/>
                          </a:prstGeom>
                          <a:noFill/>
                          <a:ln>
                            <a:noFill/>
                          </a:ln>
                        </wps:spPr>
                        <wps:txbx>
                          <w:txbxContent>
                            <w:p w14:paraId="3D01D030">
                              <w:pPr>
                                <w:spacing w:before="20" w:line="177" w:lineRule="auto"/>
                                <w:ind w:left="20"/>
                                <w:rPr>
                                  <w:rFonts w:hint="eastAsia" w:ascii="宋体" w:hAnsi="宋体" w:eastAsia="宋体" w:cs="宋体"/>
                                  <w:sz w:val="18"/>
                                  <w:szCs w:val="18"/>
                                </w:rPr>
                              </w:pPr>
                              <w:r>
                                <w:rPr>
                                  <w:rFonts w:hint="eastAsia" w:ascii="宋体" w:hAnsi="宋体" w:eastAsia="宋体" w:cs="宋体"/>
                                  <w:color w:val="2C292A"/>
                                  <w:spacing w:val="-1"/>
                                  <w:sz w:val="18"/>
                                  <w:szCs w:val="18"/>
                                </w:rPr>
                                <w:t>数据字段</w:t>
                              </w:r>
                            </w:p>
                            <w:p w14:paraId="75F26583">
                              <w:pPr>
                                <w:spacing w:before="80" w:line="209" w:lineRule="auto"/>
                                <w:ind w:left="20" w:right="559"/>
                                <w:rPr>
                                  <w:rFonts w:hint="eastAsia" w:ascii="宋体" w:hAnsi="宋体" w:eastAsia="宋体" w:cs="宋体"/>
                                  <w:sz w:val="18"/>
                                  <w:szCs w:val="18"/>
                                </w:rPr>
                              </w:pPr>
                              <w:r>
                                <w:rPr>
                                  <w:rFonts w:hint="eastAsia" w:ascii="宋体" w:hAnsi="宋体" w:eastAsia="宋体" w:cs="宋体"/>
                                  <w:color w:val="2C292A"/>
                                  <w:spacing w:val="-1"/>
                                  <w:sz w:val="18"/>
                                  <w:szCs w:val="18"/>
                                </w:rPr>
                                <w:t>应用标识符数据字段</w:t>
                              </w:r>
                            </w:p>
                            <w:p w14:paraId="583C54CD">
                              <w:pPr>
                                <w:spacing w:before="71" w:line="179" w:lineRule="auto"/>
                                <w:ind w:left="20"/>
                                <w:rPr>
                                  <w:rFonts w:hint="eastAsia" w:ascii="宋体" w:hAnsi="宋体" w:eastAsia="宋体" w:cs="宋体"/>
                                  <w:sz w:val="18"/>
                                  <w:szCs w:val="18"/>
                                </w:rPr>
                              </w:pPr>
                              <w:r>
                                <w:rPr>
                                  <w:rFonts w:hint="eastAsia" w:ascii="宋体" w:hAnsi="宋体" w:eastAsia="宋体" w:cs="宋体"/>
                                  <w:color w:val="2C292A"/>
                                  <w:spacing w:val="-1"/>
                                  <w:sz w:val="18"/>
                                  <w:szCs w:val="18"/>
                                </w:rPr>
                                <w:t>应用标识符</w:t>
                              </w:r>
                            </w:p>
                            <w:p w14:paraId="722A1B25">
                              <w:pPr>
                                <w:spacing w:before="19" w:line="182" w:lineRule="auto"/>
                                <w:ind w:left="31"/>
                                <w:rPr>
                                  <w:rFonts w:hint="eastAsia" w:ascii="宋体" w:hAnsi="宋体" w:eastAsia="宋体" w:cs="宋体"/>
                                  <w:sz w:val="18"/>
                                  <w:szCs w:val="18"/>
                                </w:rPr>
                              </w:pPr>
                              <w:r>
                                <w:rPr>
                                  <w:rFonts w:hint="eastAsia" w:ascii="宋体" w:hAnsi="宋体" w:eastAsia="宋体" w:cs="宋体"/>
                                  <w:color w:val="2C292A"/>
                                  <w:spacing w:val="-3"/>
                                  <w:sz w:val="18"/>
                                  <w:szCs w:val="18"/>
                                </w:rPr>
                                <w:t>附加信息代码</w:t>
                              </w:r>
                            </w:p>
                            <w:p w14:paraId="5445AFEB">
                              <w:pPr>
                                <w:spacing w:before="42" w:line="207" w:lineRule="auto"/>
                                <w:ind w:left="25" w:right="20" w:hanging="4"/>
                                <w:rPr>
                                  <w:rFonts w:hint="eastAsia" w:ascii="宋体" w:hAnsi="宋体" w:eastAsia="宋体" w:cs="宋体"/>
                                  <w:sz w:val="18"/>
                                  <w:szCs w:val="18"/>
                                </w:rPr>
                              </w:pPr>
                              <w:r>
                                <w:rPr>
                                  <w:rFonts w:hint="eastAsia" w:ascii="宋体" w:hAnsi="宋体" w:eastAsia="宋体" w:cs="宋体"/>
                                  <w:color w:val="2C292A"/>
                                  <w:spacing w:val="-1"/>
                                  <w:sz w:val="18"/>
                                  <w:szCs w:val="18"/>
                                </w:rPr>
                                <w:t>全球贸易项目代码</w:t>
                              </w:r>
                              <w:r>
                                <w:rPr>
                                  <w:rFonts w:hint="eastAsia" w:ascii="宋体" w:hAnsi="宋体" w:eastAsia="宋体" w:cs="宋体"/>
                                  <w:color w:val="2C292A"/>
                                  <w:spacing w:val="-17"/>
                                  <w:sz w:val="18"/>
                                  <w:szCs w:val="18"/>
                                </w:rPr>
                                <w:t>GTⅠN应用标识符</w:t>
                              </w:r>
                            </w:p>
                          </w:txbxContent>
                        </wps:txbx>
                        <wps:bodyPr lIns="0" tIns="0" rIns="0" bIns="0" upright="1"/>
                      </wps:wsp>
                    </wpg:wgp>
                  </a:graphicData>
                </a:graphic>
              </wp:anchor>
            </w:drawing>
          </mc:Choice>
          <mc:Fallback>
            <w:pict>
              <v:group id="组合 12" o:spid="_x0000_s1026" o:spt="203" style="position:absolute;left:0pt;margin-left:41.75pt;margin-top:3.4pt;height:119.55pt;width:390.55pt;z-index:251659264;mso-width-relative:page;mso-height-relative:page;" coordsize="7810,2391" o:gfxdata="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">
                <o:lock v:ext="edit" aspectratio="f"/>
                <v:group id="组合 13" o:spid="_x0000_s1026" o:spt="203" style="position:absolute;left:0;top:0;height:2101;width:6410;" coordsize="6410,2101"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任意多边形 14" o:spid="_x0000_s1026" o:spt="100" style="position:absolute;left:0;top:0;height:15;width:6410;" filled="f" stroked="t" coordsize="6410,15" o:gfxdata="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Zbq+ugAAANsA&#10;AAAPAAAAAAAAAAEAIAAAACIAAABkcnMvZG93bnJldi54bWxQSwECFAAUAAAACACHTuJAMy8FnjsA&#10;AAA5AAAAEAAAAAAAAAABACAAAAAJAQAAZHJzL3NoYXBleG1sLnhtbFBLBQYAAAAABgAGAFsBAACz&#10;AwAAAAA=&#10;" path="m0,7l405,7m539,7l3234,7m3347,7l6409,7e">
                    <v:fill on="f" focussize="0,0"/>
                    <v:stroke weight="0.71pt" color="#2C292A" miterlimit="4" joinstyle="miter"/>
                    <v:imagedata o:title=""/>
                    <o:lock v:ext="edit" aspectratio="f"/>
                  </v:shape>
                  <v:shape id="任意多边形 15" o:spid="_x0000_s1026" o:spt="100" style="position:absolute;left:199;top:7;height:2093;width:5990;" filled="f" stroked="t" coordsize="5990,2093" o:gfxdata="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UMszugAAANsA&#10;AAAPAAAAAAAAAAEAIAAAACIAAABkcnMvZG93bnJldi54bWxQSwECFAAUAAAACACHTuJAMy8FnjsA&#10;AAA5AAAAEAAAAAAAAAABACAAAAAJAQAAZHJzL3NoYXBleG1sLnhtbFBLBQYAAAAABgAGAFsBAACz&#10;AwAAAAA=&#10;" path="m2,0l2,2090,5989,2090m1705,0l1705,1802,5989,1802m3191,0l3191,1535,5989,1535e">
                    <v:fill on="f" focussize="0,0"/>
                    <v:stroke weight="0.3pt" color="#2C292A" miterlimit="4" joinstyle="miter"/>
                    <v:imagedata o:title=""/>
                    <o:lock v:ext="edit" aspectratio="f"/>
                  </v:shape>
                  <v:shape id="任意多边形 16" o:spid="_x0000_s1026" o:spt="100" style="position:absolute;left:3511;top:58;height:15;width:265;" filled="f" stroked="t" coordsize="265,15" o:gfxdata="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IccbztwAAANoAAAAP&#10;AAAAAAAAAAEAIAAAACIAAABkcnMvZG93bnJldi54bWxQSwECFAAUAAAACACHTuJAMy8FnjsAAAA5&#10;AAAAEAAAAAAAAAABACAAAAAGAQAAZHJzL3NoYXBleG1sLnhtbFBLBQYAAAAABgAGAFsBAACwAwAA&#10;AAA=&#10;" path="m0,7l264,7e">
                    <v:fill on="f" focussize="0,0"/>
                    <v:stroke weight="0.71pt" color="#2C292A" miterlimit="4" joinstyle="miter"/>
                    <v:imagedata o:title=""/>
                    <o:lock v:ext="edit" aspectratio="f"/>
                  </v:shape>
                  <v:shape id="任意多边形 17" o:spid="_x0000_s1026" o:spt="100" style="position:absolute;left:3640;top:65;height:1228;width:2548;" filled="f" stroked="t" coordsize="2548,1228" o:gfxdata="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moquugAAANsA&#10;AAAPAAAAAAAAAAEAIAAAACIAAABkcnMvZG93bnJldi54bWxQSwECFAAUAAAACACHTuJAMy8FnjsA&#10;AAA5AAAAEAAAAAAAAAABACAAAAAJAQAAZHJzL3NoYXBleG1sLnhtbFBLBQYAAAAABgAGAFsBAACz&#10;AwAAAAA=&#10;" path="m2548,1224l2,1224,2,0e">
                    <v:fill on="f" focussize="0,0"/>
                    <v:stroke weight="0.3pt" color="#2C292A" miterlimit="4" joinstyle="miter"/>
                    <v:imagedata o:title=""/>
                    <o:lock v:ext="edit" aspectratio="f"/>
                  </v:shape>
                  <v:shape id="任意多边形 18" o:spid="_x0000_s1026" o:spt="100" style="position:absolute;left:3856;top:58;height:15;width:2513;" filled="f" stroked="t" coordsize="2513,15" o:gfxdata="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9uMUugAAANoA&#10;AAAPAAAAAAAAAAEAIAAAACIAAABkcnMvZG93bnJldi54bWxQSwECFAAUAAAACACHTuJAMy8FnjsA&#10;AAA5AAAAEAAAAAAAAAABACAAAAAJAQAAZHJzL3NoYXBleG1sLnhtbFBLBQYAAAAABgAGAFsBAACz&#10;AwAAAAA=&#10;" path="m0,7l879,7m1164,7l1519,7m1649,7l2513,7e">
                    <v:fill on="f" focussize="0,0"/>
                    <v:stroke weight="0.71pt" color="#2C292A" miterlimit="4" joinstyle="miter"/>
                    <v:imagedata o:title=""/>
                    <o:lock v:ext="edit" aspectratio="f"/>
                  </v:shape>
                  <v:shape id="任意多边形 19" o:spid="_x0000_s1026" o:spt="100" style="position:absolute;left:4292;top:65;height:870;width:1896;" filled="f" stroked="t" coordsize="1896,870" o:gfxdata="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LZBmugAAANsA&#10;AAAPAAAAAAAAAAEAIAAAACIAAABkcnMvZG93bnJldi54bWxQSwECFAAUAAAACACHTuJAMy8FnjsA&#10;AAA5AAAAEAAAAAAAAAABACAAAAAJAQAAZHJzL3NoYXBleG1sLnhtbFBLBQYAAAAABgAGAFsBAACz&#10;AwAAAAA=&#10;" path="m2,0l2,867,1896,867m922,0l922,612,1896,612m1644,0l1644,306,1896,306e">
                    <v:fill on="f" focussize="0,0"/>
                    <v:stroke weight="0.3pt" color="#2C292A" miterlimit="4" joinstyle="miter"/>
                    <v:imagedata o:title=""/>
                    <o:lock v:ext="edit" aspectratio="f"/>
                  </v:shape>
                </v:group>
                <v:shape id="文本框 20" o:spid="_x0000_s1026" o:spt="202" type="#_x0000_t202" style="position:absolute;left:6334;top:252;height:2139;width:1476;"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D01D030">
                        <w:pPr>
                          <w:spacing w:before="20" w:line="177" w:lineRule="auto"/>
                          <w:ind w:left="20"/>
                          <w:rPr>
                            <w:rFonts w:hint="eastAsia" w:ascii="宋体" w:hAnsi="宋体" w:eastAsia="宋体" w:cs="宋体"/>
                            <w:sz w:val="18"/>
                            <w:szCs w:val="18"/>
                          </w:rPr>
                        </w:pPr>
                        <w:r>
                          <w:rPr>
                            <w:rFonts w:hint="eastAsia" w:ascii="宋体" w:hAnsi="宋体" w:eastAsia="宋体" w:cs="宋体"/>
                            <w:color w:val="2C292A"/>
                            <w:spacing w:val="-1"/>
                            <w:sz w:val="18"/>
                            <w:szCs w:val="18"/>
                          </w:rPr>
                          <w:t>数据字段</w:t>
                        </w:r>
                      </w:p>
                      <w:p w14:paraId="75F26583">
                        <w:pPr>
                          <w:spacing w:before="80" w:line="209" w:lineRule="auto"/>
                          <w:ind w:left="20" w:right="559"/>
                          <w:rPr>
                            <w:rFonts w:hint="eastAsia" w:ascii="宋体" w:hAnsi="宋体" w:eastAsia="宋体" w:cs="宋体"/>
                            <w:sz w:val="18"/>
                            <w:szCs w:val="18"/>
                          </w:rPr>
                        </w:pPr>
                        <w:r>
                          <w:rPr>
                            <w:rFonts w:hint="eastAsia" w:ascii="宋体" w:hAnsi="宋体" w:eastAsia="宋体" w:cs="宋体"/>
                            <w:color w:val="2C292A"/>
                            <w:spacing w:val="-1"/>
                            <w:sz w:val="18"/>
                            <w:szCs w:val="18"/>
                          </w:rPr>
                          <w:t>应用标识符数据字段</w:t>
                        </w:r>
                      </w:p>
                      <w:p w14:paraId="583C54CD">
                        <w:pPr>
                          <w:spacing w:before="71" w:line="179" w:lineRule="auto"/>
                          <w:ind w:left="20"/>
                          <w:rPr>
                            <w:rFonts w:hint="eastAsia" w:ascii="宋体" w:hAnsi="宋体" w:eastAsia="宋体" w:cs="宋体"/>
                            <w:sz w:val="18"/>
                            <w:szCs w:val="18"/>
                          </w:rPr>
                        </w:pPr>
                        <w:r>
                          <w:rPr>
                            <w:rFonts w:hint="eastAsia" w:ascii="宋体" w:hAnsi="宋体" w:eastAsia="宋体" w:cs="宋体"/>
                            <w:color w:val="2C292A"/>
                            <w:spacing w:val="-1"/>
                            <w:sz w:val="18"/>
                            <w:szCs w:val="18"/>
                          </w:rPr>
                          <w:t>应用标识符</w:t>
                        </w:r>
                      </w:p>
                      <w:p w14:paraId="722A1B25">
                        <w:pPr>
                          <w:spacing w:before="19" w:line="182" w:lineRule="auto"/>
                          <w:ind w:left="31"/>
                          <w:rPr>
                            <w:rFonts w:hint="eastAsia" w:ascii="宋体" w:hAnsi="宋体" w:eastAsia="宋体" w:cs="宋体"/>
                            <w:sz w:val="18"/>
                            <w:szCs w:val="18"/>
                          </w:rPr>
                        </w:pPr>
                        <w:r>
                          <w:rPr>
                            <w:rFonts w:hint="eastAsia" w:ascii="宋体" w:hAnsi="宋体" w:eastAsia="宋体" w:cs="宋体"/>
                            <w:color w:val="2C292A"/>
                            <w:spacing w:val="-3"/>
                            <w:sz w:val="18"/>
                            <w:szCs w:val="18"/>
                          </w:rPr>
                          <w:t>附加信息代码</w:t>
                        </w:r>
                      </w:p>
                      <w:p w14:paraId="5445AFEB">
                        <w:pPr>
                          <w:spacing w:before="42" w:line="207" w:lineRule="auto"/>
                          <w:ind w:left="25" w:right="20" w:hanging="4"/>
                          <w:rPr>
                            <w:rFonts w:hint="eastAsia" w:ascii="宋体" w:hAnsi="宋体" w:eastAsia="宋体" w:cs="宋体"/>
                            <w:sz w:val="18"/>
                            <w:szCs w:val="18"/>
                          </w:rPr>
                        </w:pPr>
                        <w:r>
                          <w:rPr>
                            <w:rFonts w:hint="eastAsia" w:ascii="宋体" w:hAnsi="宋体" w:eastAsia="宋体" w:cs="宋体"/>
                            <w:color w:val="2C292A"/>
                            <w:spacing w:val="-1"/>
                            <w:sz w:val="18"/>
                            <w:szCs w:val="18"/>
                          </w:rPr>
                          <w:t>全球贸易项目代码</w:t>
                        </w:r>
                        <w:r>
                          <w:rPr>
                            <w:rFonts w:hint="eastAsia" w:ascii="宋体" w:hAnsi="宋体" w:eastAsia="宋体" w:cs="宋体"/>
                            <w:color w:val="2C292A"/>
                            <w:spacing w:val="-17"/>
                            <w:sz w:val="18"/>
                            <w:szCs w:val="18"/>
                          </w:rPr>
                          <w:t>GTⅠN应用标识符</w:t>
                        </w:r>
                      </w:p>
                    </w:txbxContent>
                  </v:textbox>
                </v:shape>
              </v:group>
            </w:pict>
          </mc:Fallback>
        </mc:AlternateContent>
      </w:r>
    </w:p>
    <w:p w14:paraId="2061712B">
      <w:pPr>
        <w:spacing w:before="297" w:line="253" w:lineRule="exact"/>
        <w:ind w:left="3475"/>
        <w:rPr>
          <w:rFonts w:hint="eastAsia" w:ascii="黑体" w:hAnsi="黑体" w:eastAsia="黑体" w:cs="黑体"/>
          <w:sz w:val="18"/>
          <w:szCs w:val="18"/>
        </w:rPr>
      </w:pPr>
      <w:r>
        <w:rPr>
          <w:rFonts w:hint="eastAsia" w:ascii="黑体" w:hAnsi="黑体" w:eastAsia="黑体" w:cs="黑体"/>
          <w:color w:val="231F20"/>
          <w:spacing w:val="11"/>
          <w:position w:val="1"/>
          <w:sz w:val="18"/>
          <w:szCs w:val="18"/>
        </w:rPr>
        <w:t>图</w:t>
      </w:r>
      <w:r>
        <w:rPr>
          <w:rFonts w:hint="eastAsia" w:ascii="黑体" w:hAnsi="黑体" w:eastAsia="黑体" w:cs="黑体"/>
          <w:color w:val="231F20"/>
          <w:spacing w:val="-34"/>
          <w:position w:val="1"/>
          <w:sz w:val="18"/>
          <w:szCs w:val="18"/>
        </w:rPr>
        <w:t xml:space="preserve"> </w:t>
      </w:r>
      <w:r>
        <w:rPr>
          <w:rFonts w:hint="eastAsia" w:ascii="黑体" w:hAnsi="黑体" w:eastAsia="黑体" w:cs="黑体"/>
          <w:color w:val="231F20"/>
          <w:spacing w:val="11"/>
          <w:position w:val="1"/>
          <w:sz w:val="18"/>
          <w:szCs w:val="18"/>
        </w:rPr>
        <w:t>1编码数据结构的组成</w:t>
      </w:r>
    </w:p>
    <w:p w14:paraId="22C40DE8">
      <w:pPr>
        <w:pStyle w:val="23"/>
        <w:numPr>
          <w:ilvl w:val="0"/>
          <w:numId w:val="3"/>
        </w:numPr>
        <w:ind w:firstLine="420" w:firstLineChars="200"/>
        <w:rPr>
          <w:rFonts w:hint="eastAsia"/>
          <w:lang w:val="en-US" w:eastAsia="zh-CN"/>
        </w:rPr>
      </w:pPr>
      <w:r>
        <w:rPr>
          <w:rFonts w:hint="eastAsia"/>
          <w:lang w:val="en-US" w:eastAsia="zh-CN"/>
        </w:rPr>
        <w:t>网址数据结构由网络服务地址（必选）、GTIN单元数据串（必选）、附加信息单元数据串（可选）按顺序组成，符合GB/T 33993的规定。</w:t>
      </w:r>
    </w:p>
    <w:p w14:paraId="44A8BFA8">
      <w:pPr>
        <w:pStyle w:val="23"/>
        <w:numPr>
          <w:ilvl w:val="-1"/>
          <w:numId w:val="0"/>
        </w:numPr>
        <w:ind w:firstLine="0" w:firstLineChars="0"/>
        <w:rPr>
          <w:rFonts w:hint="default"/>
          <w:lang w:val="en-US" w:eastAsia="zh-CN"/>
        </w:rPr>
      </w:pPr>
      <w:r>
        <w:rPr>
          <w:rFonts w:hint="eastAsia"/>
          <w:lang w:val="en-US" w:eastAsia="zh-CN"/>
        </w:rPr>
        <w:t xml:space="preserve">    主要应用标识符见附录B。</w:t>
      </w:r>
    </w:p>
    <w:p w14:paraId="18F24D65">
      <w:pPr>
        <w:pStyle w:val="51"/>
        <w:spacing w:before="156" w:after="156"/>
        <w:rPr>
          <w:rFonts w:hint="eastAsia"/>
          <w:highlight w:val="none"/>
        </w:rPr>
      </w:pPr>
      <w:bookmarkStart w:id="24" w:name="bookmark7"/>
      <w:bookmarkEnd w:id="24"/>
      <w:r>
        <w:rPr>
          <w:rFonts w:hint="eastAsia"/>
          <w:highlight w:val="none"/>
          <w:lang w:val="en-US" w:eastAsia="zh-CN"/>
        </w:rPr>
        <w:t>主要应用标识符</w:t>
      </w:r>
    </w:p>
    <w:p w14:paraId="66CE4F98">
      <w:pPr>
        <w:pStyle w:val="52"/>
        <w:bidi w:val="0"/>
        <w:ind w:left="4" w:leftChars="0" w:hanging="4" w:firstLineChars="0"/>
        <w:outlineLvl w:val="9"/>
        <w:rPr>
          <w:rFonts w:hint="eastAsia" w:hAnsi="Times New Roman" w:cs="Times New Roman"/>
        </w:rPr>
      </w:pPr>
      <w:r>
        <w:rPr>
          <w:rFonts w:hint="eastAsia"/>
        </w:rPr>
        <w:t>富硒产品追溯编码宜采用GB/T 33993—2024附录A和GB/T 16986规定的主要应用标识符</w:t>
      </w:r>
      <w:r>
        <w:rPr>
          <w:rFonts w:hint="eastAsia" w:hAnsi="Times New Roman" w:cs="Times New Roman"/>
        </w:rPr>
        <w:t>。</w:t>
      </w:r>
    </w:p>
    <w:p w14:paraId="71854A93">
      <w:pPr>
        <w:pStyle w:val="52"/>
        <w:bidi w:val="0"/>
        <w:ind w:left="4" w:leftChars="0" w:hanging="4" w:firstLineChars="0"/>
        <w:outlineLvl w:val="9"/>
        <w:rPr>
          <w:rFonts w:hint="eastAsia" w:hAnsi="Times New Roman" w:cs="Times New Roman"/>
        </w:rPr>
      </w:pPr>
      <w:r>
        <w:rPr>
          <w:rFonts w:hint="eastAsia" w:hAnsi="Times New Roman" w:cs="Times New Roman"/>
        </w:rPr>
        <w:t>追溯编码的结构宜包含但不限于以下信息元素：</w:t>
      </w:r>
    </w:p>
    <w:p w14:paraId="2B596830">
      <w:pPr>
        <w:pStyle w:val="23"/>
        <w:rPr>
          <w:rFonts w:hint="eastAsia"/>
        </w:rPr>
      </w:pPr>
      <w:r>
        <w:rPr>
          <w:rFonts w:hint="eastAsia"/>
        </w:rPr>
        <w:t>a）组织/企业代码；</w:t>
      </w:r>
    </w:p>
    <w:p w14:paraId="774124C5">
      <w:pPr>
        <w:pStyle w:val="23"/>
        <w:rPr>
          <w:rFonts w:hint="eastAsia"/>
        </w:rPr>
      </w:pPr>
      <w:r>
        <w:rPr>
          <w:rFonts w:hint="eastAsia"/>
        </w:rPr>
        <w:t>b）产品代码；</w:t>
      </w:r>
    </w:p>
    <w:p w14:paraId="0DDA2C87">
      <w:pPr>
        <w:pStyle w:val="23"/>
        <w:rPr>
          <w:rFonts w:hint="eastAsia"/>
        </w:rPr>
      </w:pPr>
      <w:r>
        <w:rPr>
          <w:rFonts w:hint="eastAsia"/>
        </w:rPr>
        <w:t>c）生产批次代码；</w:t>
      </w:r>
    </w:p>
    <w:p w14:paraId="30CF2D94">
      <w:pPr>
        <w:pStyle w:val="23"/>
        <w:rPr>
          <w:rFonts w:hint="eastAsia" w:eastAsiaTheme="minorEastAsia"/>
          <w:lang w:eastAsia="zh-CN"/>
        </w:rPr>
      </w:pPr>
      <w:r>
        <w:rPr>
          <w:rFonts w:hint="eastAsia"/>
        </w:rPr>
        <w:t>d）生产日期/时间代码</w:t>
      </w:r>
      <w:r>
        <w:rPr>
          <w:rFonts w:hint="eastAsia"/>
          <w:lang w:eastAsia="zh-CN"/>
        </w:rPr>
        <w:t>；</w:t>
      </w:r>
    </w:p>
    <w:p w14:paraId="0210E363">
      <w:pPr>
        <w:pStyle w:val="23"/>
        <w:rPr>
          <w:rFonts w:hint="eastAsia"/>
        </w:rPr>
      </w:pPr>
      <w:r>
        <w:rPr>
          <w:rFonts w:hint="eastAsia"/>
        </w:rPr>
        <w:t>e）富硒等级代码（如适用）；</w:t>
      </w:r>
    </w:p>
    <w:p w14:paraId="6DEE5E8C">
      <w:pPr>
        <w:pStyle w:val="23"/>
        <w:rPr>
          <w:rFonts w:hint="eastAsia"/>
        </w:rPr>
      </w:pPr>
      <w:r>
        <w:rPr>
          <w:rFonts w:hint="eastAsia"/>
        </w:rPr>
        <w:t>f）检测报告编号或关联代码（如适用）。</w:t>
      </w:r>
    </w:p>
    <w:p w14:paraId="2899ECBB">
      <w:pPr>
        <w:pStyle w:val="52"/>
        <w:bidi w:val="0"/>
        <w:ind w:left="4" w:leftChars="0" w:hanging="4" w:firstLineChars="0"/>
        <w:outlineLvl w:val="9"/>
        <w:rPr>
          <w:rFonts w:hint="eastAsia" w:hAnsi="Times New Roman" w:cs="Times New Roman"/>
        </w:rPr>
      </w:pPr>
      <w:r>
        <w:rPr>
          <w:rFonts w:hint="eastAsia" w:hAnsi="Times New Roman" w:cs="Times New Roman"/>
        </w:rPr>
        <w:t>编码规则宜在组织内部统一规定，并向相关方公开，以便供应链各参与方能够正确识读和使用。</w:t>
      </w:r>
    </w:p>
    <w:p w14:paraId="005CD87D">
      <w:pPr>
        <w:pStyle w:val="52"/>
        <w:bidi w:val="0"/>
        <w:ind w:left="4" w:leftChars="0" w:hanging="4" w:firstLineChars="0"/>
        <w:outlineLvl w:val="9"/>
        <w:rPr>
          <w:rFonts w:hint="eastAsia" w:hAnsi="Times New Roman" w:cs="Times New Roman"/>
        </w:rPr>
      </w:pPr>
      <w:r>
        <w:rPr>
          <w:rFonts w:hint="eastAsia" w:hAnsi="Times New Roman" w:cs="Times New Roman"/>
        </w:rPr>
        <w:t>追溯编码宜与追溯标识关联，便于消费者和监管方通过扫描等方式查询追溯信息。</w:t>
      </w:r>
    </w:p>
    <w:p w14:paraId="0465CB93">
      <w:pPr>
        <w:pStyle w:val="25"/>
        <w:spacing w:before="312" w:after="312"/>
        <w:rPr>
          <w:rFonts w:hint="eastAsia" w:hAnsi="Times New Roman" w:cs="Times New Roman"/>
          <w:color w:val="auto"/>
          <w:highlight w:val="none"/>
        </w:rPr>
      </w:pPr>
      <w:bookmarkStart w:id="25" w:name="_Toc8782"/>
      <w:r>
        <w:rPr>
          <w:rFonts w:hint="eastAsia" w:hAnsi="Times New Roman" w:cs="Times New Roman"/>
          <w:color w:val="auto"/>
          <w:highlight w:val="none"/>
        </w:rPr>
        <w:t>追溯信息</w:t>
      </w:r>
      <w:bookmarkEnd w:id="25"/>
    </w:p>
    <w:p w14:paraId="301C772B">
      <w:pPr>
        <w:pStyle w:val="51"/>
        <w:spacing w:before="156" w:after="156"/>
        <w:rPr>
          <w:rFonts w:hint="eastAsia"/>
        </w:rPr>
      </w:pPr>
      <w:r>
        <w:rPr>
          <w:rFonts w:hint="eastAsia"/>
        </w:rPr>
        <w:t>追溯信息分类</w:t>
      </w:r>
    </w:p>
    <w:p w14:paraId="56C0E6E0">
      <w:pPr>
        <w:pStyle w:val="23"/>
        <w:rPr>
          <w:rFonts w:hint="eastAsia"/>
        </w:rPr>
      </w:pPr>
      <w:r>
        <w:rPr>
          <w:rFonts w:hint="eastAsia"/>
        </w:rPr>
        <w:t>追溯信息可分为基本追溯信息和扩展追溯信息两类：</w:t>
      </w:r>
    </w:p>
    <w:p w14:paraId="307EAFA2">
      <w:pPr>
        <w:pStyle w:val="23"/>
        <w:rPr>
          <w:rFonts w:hint="eastAsia"/>
        </w:rPr>
      </w:pPr>
      <w:r>
        <w:rPr>
          <w:rFonts w:hint="eastAsia"/>
        </w:rPr>
        <w:t>a）基本追溯信息：建议作为必须记录的信息，是实现追溯的基本要求；</w:t>
      </w:r>
    </w:p>
    <w:p w14:paraId="4243253F">
      <w:pPr>
        <w:pStyle w:val="23"/>
        <w:rPr>
          <w:rFonts w:hint="eastAsia"/>
        </w:rPr>
      </w:pPr>
      <w:r>
        <w:rPr>
          <w:rFonts w:hint="eastAsia"/>
        </w:rPr>
        <w:t>b）扩展追溯信息：组织可根据需要选择记录，用于精细化管理、品牌展示和消费者互动。</w:t>
      </w:r>
    </w:p>
    <w:p w14:paraId="6BC25B67">
      <w:pPr>
        <w:pStyle w:val="23"/>
        <w:rPr>
          <w:rFonts w:hint="eastAsia"/>
        </w:rPr>
      </w:pPr>
      <w:r>
        <w:rPr>
          <w:rFonts w:hint="eastAsia"/>
        </w:rPr>
        <w:t>富硒产品追溯信息应突出富硒产品特点，至少记录硒含量、硒形态（如适用）、富硒等级、检测信息及富硒关键控制点信息。</w:t>
      </w:r>
    </w:p>
    <w:p w14:paraId="68BE89A2">
      <w:pPr>
        <w:pStyle w:val="51"/>
        <w:spacing w:before="156" w:after="156"/>
        <w:rPr>
          <w:rFonts w:hint="eastAsia"/>
        </w:rPr>
      </w:pPr>
      <w:r>
        <w:rPr>
          <w:rFonts w:hint="eastAsia"/>
        </w:rPr>
        <w:t>各环节追溯信息</w:t>
      </w:r>
    </w:p>
    <w:p w14:paraId="3645F754">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产地环境与投入品管理环节</w:t>
      </w:r>
    </w:p>
    <w:p w14:paraId="264F5C57">
      <w:pPr>
        <w:pStyle w:val="24"/>
        <w:rPr>
          <w:rFonts w:hint="eastAsia"/>
        </w:rPr>
      </w:pPr>
      <w:r>
        <w:rPr>
          <w:rFonts w:hint="eastAsia"/>
        </w:rPr>
        <w:t>建议记录的基本追溯信息包括：</w:t>
      </w:r>
    </w:p>
    <w:p w14:paraId="022C542E">
      <w:pPr>
        <w:pStyle w:val="24"/>
        <w:rPr>
          <w:rFonts w:hint="eastAsia"/>
        </w:rPr>
      </w:pPr>
      <w:r>
        <w:rPr>
          <w:rFonts w:hint="eastAsia"/>
        </w:rPr>
        <w:t>a）产地信息：产地名称、地理位置、地块编号、土壤类型、土壤硒含量、土壤有效硒、土壤pH、有机质、灌溉水硒含量；</w:t>
      </w:r>
    </w:p>
    <w:p w14:paraId="405D2353">
      <w:pPr>
        <w:pStyle w:val="24"/>
        <w:rPr>
          <w:rFonts w:hint="eastAsia"/>
        </w:rPr>
      </w:pPr>
      <w:r>
        <w:rPr>
          <w:rFonts w:hint="eastAsia"/>
        </w:rPr>
        <w:t>b）投入品信息：硒肥、硒饲料、叶面肥、营养强化剂等名称、来源、硒形态、硒含量、使用时间、用量、使用方式；</w:t>
      </w:r>
    </w:p>
    <w:p w14:paraId="465A8D81">
      <w:pPr>
        <w:pStyle w:val="24"/>
        <w:rPr>
          <w:rFonts w:hint="eastAsia"/>
        </w:rPr>
      </w:pPr>
      <w:r>
        <w:rPr>
          <w:rFonts w:hint="eastAsia"/>
        </w:rPr>
        <w:t>c）其他投入品信息：肥料、农药、饲料等的名称、来源、使用记录；</w:t>
      </w:r>
    </w:p>
    <w:p w14:paraId="26307200">
      <w:pPr>
        <w:pStyle w:val="24"/>
        <w:rPr>
          <w:rFonts w:hint="eastAsia"/>
        </w:rPr>
      </w:pPr>
      <w:r>
        <w:rPr>
          <w:rFonts w:hint="eastAsia"/>
        </w:rPr>
        <w:t>d）环境信息：水源、气候条件、周边环境状况；</w:t>
      </w:r>
    </w:p>
    <w:p w14:paraId="623331AB">
      <w:pPr>
        <w:pStyle w:val="24"/>
        <w:rPr>
          <w:rFonts w:hint="eastAsia"/>
        </w:rPr>
      </w:pPr>
      <w:r>
        <w:rPr>
          <w:rFonts w:hint="eastAsia"/>
        </w:rPr>
        <w:t>e）富硒关键控制点记录：硒本底、外源硒投入、施用/饲喂方式。</w:t>
      </w:r>
    </w:p>
    <w:p w14:paraId="4213B98E">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种植/养殖环节</w:t>
      </w:r>
    </w:p>
    <w:p w14:paraId="193AAFE1">
      <w:pPr>
        <w:pStyle w:val="24"/>
        <w:rPr>
          <w:rFonts w:hint="eastAsia"/>
        </w:rPr>
      </w:pPr>
      <w:r>
        <w:rPr>
          <w:rFonts w:hint="eastAsia"/>
        </w:rPr>
        <w:t>建议记录的基本追溯信息包括：</w:t>
      </w:r>
    </w:p>
    <w:p w14:paraId="15CED25D">
      <w:pPr>
        <w:pStyle w:val="24"/>
        <w:rPr>
          <w:rFonts w:hint="eastAsia"/>
        </w:rPr>
      </w:pPr>
      <w:r>
        <w:rPr>
          <w:rFonts w:hint="eastAsia"/>
        </w:rPr>
        <w:t>a）品种信息：品种名称、种子/种苗/种畜来源；</w:t>
      </w:r>
    </w:p>
    <w:p w14:paraId="43676484">
      <w:pPr>
        <w:pStyle w:val="24"/>
        <w:rPr>
          <w:rFonts w:hint="eastAsia"/>
        </w:rPr>
      </w:pPr>
      <w:r>
        <w:rPr>
          <w:rFonts w:hint="eastAsia"/>
        </w:rPr>
        <w:t>b）生产操作记录：播种/定植/放养时间、关键农事/养殖操作记录；</w:t>
      </w:r>
    </w:p>
    <w:p w14:paraId="7B2EFF81">
      <w:pPr>
        <w:pStyle w:val="24"/>
        <w:rPr>
          <w:rFonts w:hint="eastAsia"/>
        </w:rPr>
      </w:pPr>
      <w:r>
        <w:rPr>
          <w:rFonts w:hint="eastAsia"/>
        </w:rPr>
        <w:t>c）硒富集操作：喷施、基施、追施、饲喂等操作时间、次数、用量；</w:t>
      </w:r>
    </w:p>
    <w:p w14:paraId="4171FF27">
      <w:pPr>
        <w:pStyle w:val="24"/>
        <w:rPr>
          <w:rFonts w:hint="eastAsia"/>
        </w:rPr>
      </w:pPr>
      <w:r>
        <w:rPr>
          <w:rFonts w:hint="eastAsia"/>
        </w:rPr>
        <w:t>d）投入品使用记录：肥料、农药、饲料、硒肥、硒饲料等；</w:t>
      </w:r>
    </w:p>
    <w:p w14:paraId="4A8ED1B5">
      <w:pPr>
        <w:pStyle w:val="24"/>
        <w:rPr>
          <w:rFonts w:hint="eastAsia"/>
        </w:rPr>
      </w:pPr>
      <w:r>
        <w:rPr>
          <w:rFonts w:hint="eastAsia"/>
        </w:rPr>
        <w:t>e）硒含量检测信息：检测时间、检测方法、检测结果、检测机构；</w:t>
      </w:r>
    </w:p>
    <w:p w14:paraId="72208793">
      <w:pPr>
        <w:pStyle w:val="24"/>
        <w:rPr>
          <w:rFonts w:hint="eastAsia"/>
        </w:rPr>
      </w:pPr>
      <w:r>
        <w:rPr>
          <w:rFonts w:hint="eastAsia"/>
        </w:rPr>
        <w:t>f）扩展信息：田间管理记录、生长监测数据、病虫害防治记录、硒吸收转化观察记录。</w:t>
      </w:r>
    </w:p>
    <w:p w14:paraId="1DAB62BF">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采收/出栏环节</w:t>
      </w:r>
    </w:p>
    <w:p w14:paraId="2C93FD05">
      <w:pPr>
        <w:pStyle w:val="24"/>
        <w:ind w:firstLine="420" w:firstLineChars="200"/>
        <w:rPr>
          <w:rFonts w:hint="eastAsia"/>
        </w:rPr>
      </w:pPr>
      <w:r>
        <w:rPr>
          <w:rFonts w:hint="eastAsia"/>
        </w:rPr>
        <w:t>建议记录的基本追溯信息包括：</w:t>
      </w:r>
    </w:p>
    <w:p w14:paraId="79D67514">
      <w:pPr>
        <w:pStyle w:val="24"/>
        <w:rPr>
          <w:rFonts w:hint="eastAsia"/>
        </w:rPr>
      </w:pPr>
      <w:r>
        <w:rPr>
          <w:rFonts w:hint="eastAsia"/>
        </w:rPr>
        <w:t>a）采收/出栏时间；</w:t>
      </w:r>
    </w:p>
    <w:p w14:paraId="7C0D564D">
      <w:pPr>
        <w:pStyle w:val="24"/>
        <w:rPr>
          <w:rFonts w:hint="eastAsia"/>
        </w:rPr>
      </w:pPr>
      <w:r>
        <w:rPr>
          <w:rFonts w:hint="eastAsia"/>
        </w:rPr>
        <w:t>b）采收/出栏数量；</w:t>
      </w:r>
    </w:p>
    <w:p w14:paraId="0EEEF6B3">
      <w:pPr>
        <w:pStyle w:val="24"/>
        <w:rPr>
          <w:rFonts w:hint="eastAsia"/>
        </w:rPr>
      </w:pPr>
      <w:r>
        <w:rPr>
          <w:rFonts w:hint="eastAsia"/>
        </w:rPr>
        <w:t>c）操作人员信息；</w:t>
      </w:r>
    </w:p>
    <w:p w14:paraId="4E4D5FE0">
      <w:pPr>
        <w:pStyle w:val="24"/>
        <w:rPr>
          <w:rFonts w:hint="eastAsia"/>
        </w:rPr>
      </w:pPr>
      <w:r>
        <w:rPr>
          <w:rFonts w:hint="eastAsia"/>
        </w:rPr>
        <w:t>d）与种植养殖批次信息的关联记录；</w:t>
      </w:r>
    </w:p>
    <w:p w14:paraId="7FDE3637">
      <w:pPr>
        <w:pStyle w:val="24"/>
        <w:rPr>
          <w:rFonts w:hint="eastAsia"/>
        </w:rPr>
      </w:pPr>
      <w:r>
        <w:rPr>
          <w:rFonts w:hint="eastAsia"/>
        </w:rPr>
        <w:t>e）原料硒含量初检信息（如适用）；</w:t>
      </w:r>
    </w:p>
    <w:p w14:paraId="12D5A0B2">
      <w:pPr>
        <w:pStyle w:val="24"/>
        <w:rPr>
          <w:rFonts w:hint="eastAsia"/>
        </w:rPr>
      </w:pPr>
      <w:r>
        <w:rPr>
          <w:rFonts w:hint="eastAsia"/>
        </w:rPr>
        <w:t>f）富硒关键控制点记录：采收/出栏批次、硒含量初检、原料去向。</w:t>
      </w:r>
    </w:p>
    <w:p w14:paraId="463DD6D0">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检测检验环节</w:t>
      </w:r>
    </w:p>
    <w:p w14:paraId="4E464670">
      <w:pPr>
        <w:pStyle w:val="24"/>
        <w:rPr>
          <w:rFonts w:hint="eastAsia"/>
        </w:rPr>
      </w:pPr>
      <w:r>
        <w:rPr>
          <w:rFonts w:hint="eastAsia"/>
        </w:rPr>
        <w:t>建议记录的基本追溯信息包括：</w:t>
      </w:r>
    </w:p>
    <w:p w14:paraId="0E16F9CF">
      <w:pPr>
        <w:pStyle w:val="24"/>
        <w:rPr>
          <w:rFonts w:hint="eastAsia"/>
        </w:rPr>
      </w:pPr>
      <w:r>
        <w:rPr>
          <w:rFonts w:hint="eastAsia"/>
        </w:rPr>
        <w:t>a）硒含量检测时间；</w:t>
      </w:r>
    </w:p>
    <w:p w14:paraId="28922CC9">
      <w:pPr>
        <w:pStyle w:val="24"/>
        <w:rPr>
          <w:rFonts w:hint="eastAsia"/>
        </w:rPr>
      </w:pPr>
      <w:r>
        <w:rPr>
          <w:rFonts w:hint="eastAsia"/>
        </w:rPr>
        <w:t>b）检测方法；</w:t>
      </w:r>
    </w:p>
    <w:p w14:paraId="5B2B43BD">
      <w:pPr>
        <w:pStyle w:val="24"/>
        <w:rPr>
          <w:rFonts w:hint="eastAsia"/>
        </w:rPr>
      </w:pPr>
      <w:r>
        <w:rPr>
          <w:rFonts w:hint="eastAsia"/>
        </w:rPr>
        <w:t>c）检测结果；</w:t>
      </w:r>
    </w:p>
    <w:p w14:paraId="42D14752">
      <w:pPr>
        <w:pStyle w:val="24"/>
        <w:rPr>
          <w:rFonts w:hint="eastAsia"/>
        </w:rPr>
      </w:pPr>
      <w:r>
        <w:rPr>
          <w:rFonts w:hint="eastAsia"/>
        </w:rPr>
        <w:t>d）检测机构；</w:t>
      </w:r>
    </w:p>
    <w:p w14:paraId="08570D4B">
      <w:pPr>
        <w:pStyle w:val="24"/>
        <w:rPr>
          <w:rFonts w:hint="eastAsia"/>
        </w:rPr>
      </w:pPr>
      <w:r>
        <w:rPr>
          <w:rFonts w:hint="eastAsia"/>
        </w:rPr>
        <w:t>e）报告编号；</w:t>
      </w:r>
    </w:p>
    <w:p w14:paraId="5D49C5AD">
      <w:pPr>
        <w:pStyle w:val="24"/>
        <w:rPr>
          <w:rFonts w:hint="eastAsia"/>
        </w:rPr>
      </w:pPr>
      <w:r>
        <w:rPr>
          <w:rFonts w:hint="eastAsia"/>
        </w:rPr>
        <w:t>f）硒形态检测信息（如适用）；</w:t>
      </w:r>
    </w:p>
    <w:p w14:paraId="7485DB89">
      <w:pPr>
        <w:pStyle w:val="24"/>
        <w:rPr>
          <w:rFonts w:hint="eastAsia"/>
        </w:rPr>
      </w:pPr>
      <w:r>
        <w:rPr>
          <w:rFonts w:hint="eastAsia"/>
        </w:rPr>
        <w:t>g）其他营养成分、重金属、农药残留等检测信息。</w:t>
      </w:r>
    </w:p>
    <w:p w14:paraId="4A2E699F">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加工环节</w:t>
      </w:r>
    </w:p>
    <w:p w14:paraId="504862B1">
      <w:pPr>
        <w:pStyle w:val="24"/>
        <w:rPr>
          <w:rFonts w:hint="eastAsia"/>
        </w:rPr>
      </w:pPr>
      <w:r>
        <w:rPr>
          <w:rFonts w:hint="eastAsia"/>
        </w:rPr>
        <w:t>建议记录的基本追溯信息包括：</w:t>
      </w:r>
    </w:p>
    <w:p w14:paraId="32FA90FD">
      <w:pPr>
        <w:pStyle w:val="24"/>
        <w:rPr>
          <w:rFonts w:hint="eastAsia"/>
        </w:rPr>
      </w:pPr>
      <w:r>
        <w:rPr>
          <w:rFonts w:hint="eastAsia"/>
        </w:rPr>
        <w:t>a）原料信息：原料来源、原料批次、原料硒含量检测信息；</w:t>
      </w:r>
    </w:p>
    <w:p w14:paraId="48CF4627">
      <w:pPr>
        <w:pStyle w:val="24"/>
        <w:rPr>
          <w:rFonts w:hint="eastAsia"/>
        </w:rPr>
      </w:pPr>
      <w:r>
        <w:rPr>
          <w:rFonts w:hint="eastAsia"/>
        </w:rPr>
        <w:t>b）加工时间；</w:t>
      </w:r>
    </w:p>
    <w:p w14:paraId="2D00F4EE">
      <w:pPr>
        <w:pStyle w:val="24"/>
        <w:rPr>
          <w:rFonts w:hint="eastAsia"/>
        </w:rPr>
      </w:pPr>
      <w:r>
        <w:rPr>
          <w:rFonts w:hint="eastAsia"/>
        </w:rPr>
        <w:t>c）加工工艺关键参数，如温度、时间、压力、水分等；</w:t>
      </w:r>
    </w:p>
    <w:p w14:paraId="1D80D417">
      <w:pPr>
        <w:pStyle w:val="24"/>
        <w:rPr>
          <w:rFonts w:hint="eastAsia"/>
        </w:rPr>
      </w:pPr>
      <w:r>
        <w:rPr>
          <w:rFonts w:hint="eastAsia"/>
        </w:rPr>
        <w:t>d）工艺对硒保留或转化的影响；</w:t>
      </w:r>
    </w:p>
    <w:p w14:paraId="4E0C91C4">
      <w:pPr>
        <w:pStyle w:val="24"/>
        <w:rPr>
          <w:rFonts w:hint="eastAsia"/>
        </w:rPr>
      </w:pPr>
      <w:r>
        <w:rPr>
          <w:rFonts w:hint="eastAsia"/>
        </w:rPr>
        <w:t>e）添加剂使用记录（如有）；</w:t>
      </w:r>
    </w:p>
    <w:p w14:paraId="103446C1">
      <w:pPr>
        <w:pStyle w:val="24"/>
        <w:rPr>
          <w:rFonts w:hint="eastAsia"/>
        </w:rPr>
      </w:pPr>
      <w:r>
        <w:rPr>
          <w:rFonts w:hint="eastAsia"/>
        </w:rPr>
        <w:t>f）外源硒强化记录（如有）：强化剂名称、硒形态、添加量、添加时间；</w:t>
      </w:r>
    </w:p>
    <w:p w14:paraId="5D5B2C2A">
      <w:pPr>
        <w:pStyle w:val="24"/>
        <w:rPr>
          <w:rFonts w:hint="eastAsia"/>
        </w:rPr>
      </w:pPr>
      <w:r>
        <w:rPr>
          <w:rFonts w:hint="eastAsia"/>
        </w:rPr>
        <w:t>g）成品信息：成品批次、成品数量、成品硒含量检测信息、富硒等级；</w:t>
      </w:r>
    </w:p>
    <w:p w14:paraId="083A822B">
      <w:pPr>
        <w:pStyle w:val="24"/>
        <w:rPr>
          <w:rFonts w:hint="eastAsia"/>
        </w:rPr>
      </w:pPr>
      <w:r>
        <w:rPr>
          <w:rFonts w:hint="eastAsia"/>
        </w:rPr>
        <w:t>h）富硒关键控制点记录：原料硒、工艺参数、成品硒、等级判定。</w:t>
      </w:r>
    </w:p>
    <w:p w14:paraId="0E9C343F">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包装与仓储环节</w:t>
      </w:r>
    </w:p>
    <w:p w14:paraId="2A20F968">
      <w:pPr>
        <w:pStyle w:val="24"/>
        <w:rPr>
          <w:rFonts w:hint="eastAsia"/>
        </w:rPr>
      </w:pPr>
      <w:r>
        <w:rPr>
          <w:rFonts w:hint="eastAsia"/>
        </w:rPr>
        <w:t>建议记录的基本追溯信息包括：</w:t>
      </w:r>
    </w:p>
    <w:p w14:paraId="6393B0F9">
      <w:pPr>
        <w:pStyle w:val="24"/>
        <w:rPr>
          <w:rFonts w:hint="eastAsia"/>
        </w:rPr>
      </w:pPr>
      <w:r>
        <w:rPr>
          <w:rFonts w:hint="eastAsia"/>
        </w:rPr>
        <w:t>a）包装时间；</w:t>
      </w:r>
    </w:p>
    <w:p w14:paraId="3AF4B7C6">
      <w:pPr>
        <w:pStyle w:val="24"/>
        <w:rPr>
          <w:rFonts w:hint="eastAsia"/>
        </w:rPr>
      </w:pPr>
      <w:r>
        <w:rPr>
          <w:rFonts w:hint="eastAsia"/>
        </w:rPr>
        <w:t>b）包装规格；</w:t>
      </w:r>
    </w:p>
    <w:p w14:paraId="696B8DD5">
      <w:pPr>
        <w:pStyle w:val="24"/>
        <w:rPr>
          <w:rFonts w:hint="eastAsia"/>
        </w:rPr>
      </w:pPr>
      <w:r>
        <w:rPr>
          <w:rFonts w:hint="eastAsia"/>
        </w:rPr>
        <w:t>c）追溯编码和追溯标识的赋码信息；</w:t>
      </w:r>
    </w:p>
    <w:p w14:paraId="5ED3E694">
      <w:pPr>
        <w:pStyle w:val="24"/>
        <w:rPr>
          <w:rFonts w:hint="eastAsia"/>
        </w:rPr>
      </w:pPr>
      <w:r>
        <w:rPr>
          <w:rFonts w:hint="eastAsia"/>
        </w:rPr>
        <w:t>d）富硒等级标识信息；</w:t>
      </w:r>
    </w:p>
    <w:p w14:paraId="1261A9D9">
      <w:pPr>
        <w:pStyle w:val="24"/>
        <w:rPr>
          <w:rFonts w:hint="eastAsia"/>
        </w:rPr>
      </w:pPr>
      <w:r>
        <w:rPr>
          <w:rFonts w:hint="eastAsia"/>
        </w:rPr>
        <w:t>e）入库时间、库位信息；</w:t>
      </w:r>
    </w:p>
    <w:p w14:paraId="727D0407">
      <w:pPr>
        <w:pStyle w:val="24"/>
        <w:rPr>
          <w:rFonts w:hint="eastAsia"/>
        </w:rPr>
      </w:pPr>
      <w:r>
        <w:rPr>
          <w:rFonts w:hint="eastAsia"/>
        </w:rPr>
        <w:t>f）出库时间、出库数量、去向；</w:t>
      </w:r>
    </w:p>
    <w:p w14:paraId="0ED770D6">
      <w:pPr>
        <w:pStyle w:val="24"/>
        <w:rPr>
          <w:rFonts w:hint="eastAsia"/>
        </w:rPr>
      </w:pPr>
      <w:r>
        <w:rPr>
          <w:rFonts w:hint="eastAsia"/>
        </w:rPr>
        <w:t>g）仓储条件，防止交叉污染和硒含量变化。</w:t>
      </w:r>
    </w:p>
    <w:p w14:paraId="4A5D0682">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物流配送环节</w:t>
      </w:r>
    </w:p>
    <w:p w14:paraId="56FB84A3">
      <w:pPr>
        <w:pStyle w:val="24"/>
        <w:rPr>
          <w:rFonts w:hint="eastAsia"/>
        </w:rPr>
      </w:pPr>
      <w:r>
        <w:rPr>
          <w:rFonts w:hint="eastAsia"/>
        </w:rPr>
        <w:t>建议记录的基本追溯信息包括：</w:t>
      </w:r>
    </w:p>
    <w:p w14:paraId="4CA5263C">
      <w:pPr>
        <w:pStyle w:val="24"/>
        <w:rPr>
          <w:rFonts w:hint="eastAsia"/>
        </w:rPr>
      </w:pPr>
      <w:r>
        <w:rPr>
          <w:rFonts w:hint="eastAsia"/>
        </w:rPr>
        <w:t>a）承运方信息；</w:t>
      </w:r>
    </w:p>
    <w:p w14:paraId="46629D33">
      <w:pPr>
        <w:pStyle w:val="24"/>
        <w:rPr>
          <w:rFonts w:hint="eastAsia"/>
        </w:rPr>
      </w:pPr>
      <w:r>
        <w:rPr>
          <w:rFonts w:hint="eastAsia"/>
        </w:rPr>
        <w:t>b）运输工具信息；</w:t>
      </w:r>
    </w:p>
    <w:p w14:paraId="421241A6">
      <w:pPr>
        <w:pStyle w:val="24"/>
        <w:rPr>
          <w:rFonts w:hint="eastAsia"/>
        </w:rPr>
      </w:pPr>
      <w:r>
        <w:rPr>
          <w:rFonts w:hint="eastAsia"/>
        </w:rPr>
        <w:t>c）运输起止时间和路线；</w:t>
      </w:r>
    </w:p>
    <w:p w14:paraId="5DACCD1E">
      <w:pPr>
        <w:pStyle w:val="24"/>
        <w:rPr>
          <w:rFonts w:hint="eastAsia"/>
        </w:rPr>
      </w:pPr>
      <w:r>
        <w:rPr>
          <w:rFonts w:hint="eastAsia"/>
        </w:rPr>
        <w:t>d）运输过程中的温湿度等环境条件记录（如适用）；</w:t>
      </w:r>
    </w:p>
    <w:p w14:paraId="7923F41E">
      <w:pPr>
        <w:pStyle w:val="24"/>
        <w:rPr>
          <w:rFonts w:hint="eastAsia"/>
        </w:rPr>
      </w:pPr>
      <w:r>
        <w:rPr>
          <w:rFonts w:hint="eastAsia"/>
        </w:rPr>
        <w:t>e）交接记录；</w:t>
      </w:r>
    </w:p>
    <w:p w14:paraId="1297145D">
      <w:pPr>
        <w:pStyle w:val="24"/>
        <w:rPr>
          <w:rFonts w:hint="eastAsia"/>
        </w:rPr>
      </w:pPr>
      <w:r>
        <w:rPr>
          <w:rFonts w:hint="eastAsia"/>
        </w:rPr>
        <w:t>f）防污染、防混淆措施。</w:t>
      </w:r>
    </w:p>
    <w:p w14:paraId="28131311">
      <w:pPr>
        <w:pStyle w:val="52"/>
        <w:keepNext w:val="0"/>
        <w:keepLines w:val="0"/>
        <w:pageBreakBefore w:val="0"/>
        <w:widowControl w:val="0"/>
        <w:kinsoku/>
        <w:wordWrap/>
        <w:overflowPunct/>
        <w:topLinePunct w:val="0"/>
        <w:autoSpaceDE/>
        <w:autoSpaceDN/>
        <w:bidi w:val="0"/>
        <w:adjustRightInd/>
        <w:snapToGrid/>
        <w:spacing w:before="157" w:beforeLines="50" w:after="157" w:afterLines="50"/>
        <w:ind w:left="6" w:leftChars="0" w:hanging="6" w:firstLineChars="0"/>
        <w:textAlignment w:val="auto"/>
        <w:outlineLvl w:val="9"/>
        <w:rPr>
          <w:rFonts w:hint="eastAsia" w:ascii="黑体" w:hAnsi="黑体" w:eastAsia="黑体" w:cs="黑体"/>
        </w:rPr>
      </w:pPr>
      <w:r>
        <w:rPr>
          <w:rFonts w:hint="eastAsia" w:ascii="黑体" w:hAnsi="黑体" w:eastAsia="黑体" w:cs="黑体"/>
        </w:rPr>
        <w:t>销售终端环节</w:t>
      </w:r>
    </w:p>
    <w:p w14:paraId="1886C673">
      <w:pPr>
        <w:pStyle w:val="24"/>
        <w:rPr>
          <w:rFonts w:hint="eastAsia"/>
        </w:rPr>
      </w:pPr>
      <w:r>
        <w:rPr>
          <w:rFonts w:hint="eastAsia"/>
        </w:rPr>
        <w:t>建议记录的基本追溯信息包括：</w:t>
      </w:r>
    </w:p>
    <w:p w14:paraId="744E188F">
      <w:pPr>
        <w:pStyle w:val="24"/>
        <w:rPr>
          <w:rFonts w:hint="eastAsia"/>
        </w:rPr>
      </w:pPr>
      <w:r>
        <w:rPr>
          <w:rFonts w:hint="eastAsia"/>
        </w:rPr>
        <w:t>a）销售时间；</w:t>
      </w:r>
    </w:p>
    <w:p w14:paraId="78DF3362">
      <w:pPr>
        <w:pStyle w:val="24"/>
        <w:rPr>
          <w:rFonts w:hint="eastAsia"/>
        </w:rPr>
      </w:pPr>
      <w:r>
        <w:rPr>
          <w:rFonts w:hint="eastAsia"/>
        </w:rPr>
        <w:t>b）销售数量；</w:t>
      </w:r>
    </w:p>
    <w:p w14:paraId="27333E9F">
      <w:pPr>
        <w:pStyle w:val="24"/>
        <w:rPr>
          <w:rFonts w:hint="eastAsia"/>
        </w:rPr>
      </w:pPr>
      <w:r>
        <w:rPr>
          <w:rFonts w:hint="eastAsia"/>
        </w:rPr>
        <w:t>c）销售渠道/终端信息；</w:t>
      </w:r>
    </w:p>
    <w:p w14:paraId="4738A3A8">
      <w:pPr>
        <w:pStyle w:val="24"/>
        <w:rPr>
          <w:rFonts w:hint="eastAsia"/>
        </w:rPr>
      </w:pPr>
      <w:r>
        <w:rPr>
          <w:rFonts w:hint="eastAsia"/>
        </w:rPr>
        <w:t>d）富硒等级和追溯标识展示信息；</w:t>
      </w:r>
    </w:p>
    <w:p w14:paraId="5FA96C2E">
      <w:pPr>
        <w:pStyle w:val="24"/>
        <w:rPr>
          <w:rFonts w:hint="eastAsia"/>
        </w:rPr>
      </w:pPr>
      <w:r>
        <w:rPr>
          <w:rFonts w:hint="eastAsia"/>
        </w:rPr>
        <w:t>e）消费者信息（如适用，且符合个人信息保护相关法律法规）。</w:t>
      </w:r>
    </w:p>
    <w:p w14:paraId="62972577">
      <w:pPr>
        <w:pStyle w:val="51"/>
        <w:spacing w:before="156" w:after="156"/>
        <w:rPr>
          <w:rFonts w:hint="eastAsia"/>
        </w:rPr>
      </w:pPr>
      <w:r>
        <w:rPr>
          <w:rFonts w:hint="eastAsia"/>
        </w:rPr>
        <w:t>富硒产品分级与硒信息</w:t>
      </w:r>
    </w:p>
    <w:p w14:paraId="48B6C607">
      <w:pPr>
        <w:pStyle w:val="52"/>
        <w:ind w:left="4" w:hanging="4" w:firstLineChars="0"/>
        <w:outlineLvl w:val="9"/>
        <w:rPr>
          <w:rFonts w:hint="eastAsia"/>
        </w:rPr>
      </w:pPr>
      <w:r>
        <w:rPr>
          <w:rFonts w:hint="eastAsia"/>
        </w:rPr>
        <w:t>富硒产品追溯信息应突出富硒产品特点，记录硒含量、硒形态、检测方法、检测机构和富硒等级。富硒等</w:t>
      </w:r>
      <w:r>
        <w:rPr>
          <w:rFonts w:hint="eastAsia"/>
          <w:highlight w:val="none"/>
        </w:rPr>
        <w:t>级宜按RB/T 138</w:t>
      </w:r>
      <w:r>
        <w:rPr>
          <w:rFonts w:hint="eastAsia"/>
          <w:highlight w:val="none"/>
          <w:lang w:eastAsia="zh-CN"/>
        </w:rPr>
        <w:t>—</w:t>
      </w:r>
      <w:r>
        <w:rPr>
          <w:rFonts w:hint="eastAsia"/>
          <w:highlight w:val="none"/>
          <w:lang w:val="en-US" w:eastAsia="zh-CN"/>
        </w:rPr>
        <w:t>2023</w:t>
      </w:r>
      <w:r>
        <w:rPr>
          <w:rFonts w:hint="eastAsia"/>
        </w:rPr>
        <w:t>、产品标准或企业明示标准确定。</w:t>
      </w:r>
    </w:p>
    <w:p w14:paraId="44275499">
      <w:pPr>
        <w:pStyle w:val="52"/>
        <w:ind w:left="4" w:hanging="4" w:firstLineChars="0"/>
        <w:outlineLvl w:val="9"/>
        <w:rPr>
          <w:rFonts w:hint="eastAsia"/>
        </w:rPr>
      </w:pPr>
      <w:r>
        <w:rPr>
          <w:rFonts w:hint="eastAsia"/>
        </w:rPr>
        <w:t>富硒产品追溯信息记录宜符合GB/T 45547的追溯信息要求。追溯核心元数据宜按照GB/T 38154的要求进行定义和管理。</w:t>
      </w:r>
    </w:p>
    <w:p w14:paraId="31E518F9">
      <w:pPr>
        <w:pStyle w:val="51"/>
        <w:spacing w:before="156" w:after="156"/>
        <w:rPr>
          <w:rFonts w:hint="eastAsia"/>
        </w:rPr>
      </w:pPr>
      <w:r>
        <w:rPr>
          <w:rFonts w:hint="eastAsia"/>
        </w:rPr>
        <w:t>信息链串联</w:t>
      </w:r>
    </w:p>
    <w:p w14:paraId="31CCCB88">
      <w:pPr>
        <w:pStyle w:val="52"/>
        <w:ind w:left="4" w:hanging="4" w:firstLineChars="0"/>
        <w:outlineLvl w:val="9"/>
        <w:rPr>
          <w:rFonts w:hint="eastAsia"/>
        </w:rPr>
      </w:pPr>
      <w:r>
        <w:rPr>
          <w:rFonts w:hint="eastAsia"/>
        </w:rPr>
        <w:t>组织宜以批次号、追溯码或序列号为纽带，将投入物、种植养殖、采收/出栏、检测、加工、包装、仓储、物流、销售等环节信息串联起来，形成完整追溯链。</w:t>
      </w:r>
    </w:p>
    <w:p w14:paraId="09E70EC1">
      <w:pPr>
        <w:pStyle w:val="52"/>
        <w:ind w:left="4" w:hanging="4" w:firstLineChars="0"/>
        <w:outlineLvl w:val="9"/>
        <w:rPr>
          <w:rFonts w:hint="eastAsia"/>
        </w:rPr>
      </w:pPr>
      <w:r>
        <w:rPr>
          <w:rFonts w:hint="eastAsia"/>
        </w:rPr>
        <w:t>正向追溯宜能从硒肥/硒饲料批次查至成品和销售终端；反向追溯宜能从成品追溯码查至原料批次、地块、投入品和关键工艺。</w:t>
      </w:r>
    </w:p>
    <w:p w14:paraId="11766724">
      <w:pPr>
        <w:pStyle w:val="51"/>
        <w:spacing w:before="156" w:after="156"/>
        <w:rPr>
          <w:rFonts w:hint="eastAsia"/>
        </w:rPr>
      </w:pPr>
      <w:r>
        <w:rPr>
          <w:rFonts w:hint="eastAsia"/>
        </w:rPr>
        <w:t>信息记录</w:t>
      </w:r>
    </w:p>
    <w:p w14:paraId="1ED86AE2">
      <w:pPr>
        <w:pStyle w:val="52"/>
        <w:bidi w:val="0"/>
        <w:ind w:left="4" w:leftChars="0" w:hanging="4" w:firstLineChars="0"/>
        <w:outlineLvl w:val="9"/>
        <w:rPr>
          <w:rFonts w:hint="eastAsia" w:hAnsi="Times New Roman" w:cs="Times New Roman"/>
        </w:rPr>
      </w:pPr>
      <w:r>
        <w:rPr>
          <w:rFonts w:hint="eastAsia" w:hAnsi="Times New Roman" w:cs="Times New Roman"/>
        </w:rPr>
        <w:t>信息记录宜做到及时、准确、完整，不宜伪造、篡改。</w:t>
      </w:r>
    </w:p>
    <w:p w14:paraId="7AB2DD87">
      <w:pPr>
        <w:pStyle w:val="52"/>
        <w:bidi w:val="0"/>
        <w:ind w:left="4" w:leftChars="0" w:hanging="4" w:firstLineChars="0"/>
        <w:outlineLvl w:val="9"/>
        <w:rPr>
          <w:rFonts w:hint="eastAsia" w:hAnsi="Times New Roman" w:cs="Times New Roman"/>
        </w:rPr>
      </w:pPr>
      <w:r>
        <w:rPr>
          <w:rFonts w:hint="eastAsia" w:hAnsi="Times New Roman" w:cs="Times New Roman"/>
        </w:rPr>
        <w:t>记录载体可为纸质记录或电子记录。采用电子记录的，宜具备数据备份和防篡改功能。</w:t>
      </w:r>
    </w:p>
    <w:p w14:paraId="761B369F">
      <w:pPr>
        <w:pStyle w:val="52"/>
        <w:bidi w:val="0"/>
        <w:ind w:left="4" w:leftChars="0" w:hanging="4" w:firstLineChars="0"/>
        <w:outlineLvl w:val="9"/>
        <w:rPr>
          <w:rFonts w:hint="eastAsia" w:hAnsi="Times New Roman" w:cs="Times New Roman"/>
        </w:rPr>
      </w:pPr>
      <w:r>
        <w:rPr>
          <w:rFonts w:hint="eastAsia" w:hAnsi="Times New Roman" w:cs="Times New Roman"/>
        </w:rPr>
        <w:t>各追溯环节的岗位人员和负责人宜通过培训，具备所在岗位要求的产品质量相关知识和相应能力，负责录入每个阶段所应记录的信息。</w:t>
      </w:r>
    </w:p>
    <w:p w14:paraId="1C48A321">
      <w:pPr>
        <w:pStyle w:val="52"/>
        <w:bidi w:val="0"/>
        <w:ind w:left="4" w:leftChars="0" w:hanging="4" w:firstLineChars="0"/>
        <w:outlineLvl w:val="9"/>
        <w:rPr>
          <w:rFonts w:hint="eastAsia" w:hAnsi="Times New Roman" w:cs="Times New Roman"/>
        </w:rPr>
      </w:pPr>
      <w:r>
        <w:rPr>
          <w:rFonts w:hint="eastAsia" w:hAnsi="Times New Roman" w:cs="Times New Roman"/>
        </w:rPr>
        <w:t>追溯体系的管理人员宜对所记录的信息进行审核和处理。</w:t>
      </w:r>
    </w:p>
    <w:p w14:paraId="60FDF7E8">
      <w:pPr>
        <w:pStyle w:val="51"/>
        <w:spacing w:before="156" w:after="156"/>
        <w:rPr>
          <w:rFonts w:hint="eastAsia"/>
        </w:rPr>
      </w:pPr>
      <w:r>
        <w:rPr>
          <w:rFonts w:hint="eastAsia"/>
        </w:rPr>
        <w:t>信息保存期限</w:t>
      </w:r>
    </w:p>
    <w:p w14:paraId="1C4C5046">
      <w:pPr>
        <w:pStyle w:val="52"/>
        <w:bidi w:val="0"/>
        <w:ind w:left="4" w:leftChars="0" w:hanging="4" w:firstLineChars="0"/>
        <w:outlineLvl w:val="9"/>
        <w:rPr>
          <w:rFonts w:hint="eastAsia" w:hAnsi="Times New Roman" w:cs="Times New Roman"/>
        </w:rPr>
      </w:pPr>
      <w:r>
        <w:rPr>
          <w:rFonts w:hint="eastAsia" w:hAnsi="Times New Roman" w:cs="Times New Roman"/>
        </w:rPr>
        <w:t>富硒产品追溯信息的保存期限宜比最终产品的保质期长2年。</w:t>
      </w:r>
    </w:p>
    <w:p w14:paraId="300E3FAF">
      <w:pPr>
        <w:pStyle w:val="52"/>
        <w:bidi w:val="0"/>
        <w:ind w:left="4" w:leftChars="0" w:hanging="4" w:firstLineChars="0"/>
        <w:outlineLvl w:val="9"/>
        <w:rPr>
          <w:rFonts w:hint="eastAsia" w:hAnsi="Times New Roman" w:cs="Times New Roman"/>
        </w:rPr>
      </w:pPr>
      <w:r>
        <w:rPr>
          <w:rFonts w:hint="eastAsia" w:hAnsi="Times New Roman" w:cs="Times New Roman"/>
        </w:rPr>
        <w:t>对于无明确保质期的产品，信息保存期限自生产之日起宜不少于5年。</w:t>
      </w:r>
    </w:p>
    <w:p w14:paraId="5295A96F">
      <w:pPr>
        <w:pStyle w:val="25"/>
        <w:spacing w:before="312" w:after="312"/>
        <w:rPr>
          <w:rFonts w:hint="eastAsia" w:hAnsi="Times New Roman" w:cs="Times New Roman"/>
          <w:color w:val="auto"/>
          <w:highlight w:val="none"/>
        </w:rPr>
      </w:pPr>
      <w:bookmarkStart w:id="26" w:name="_Toc5780"/>
      <w:r>
        <w:rPr>
          <w:rFonts w:hint="eastAsia" w:hAnsi="Times New Roman" w:cs="Times New Roman"/>
          <w:color w:val="auto"/>
          <w:highlight w:val="none"/>
        </w:rPr>
        <w:t>追溯标识</w:t>
      </w:r>
      <w:bookmarkEnd w:id="26"/>
    </w:p>
    <w:p w14:paraId="739BAE5B">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产品在出厂后的各环节中，宜在产品包装上带有信息追溯标识，并注意保护，确保追溯标识清晰、完整、未经涂改。</w:t>
      </w:r>
    </w:p>
    <w:p w14:paraId="3D2BB604">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追溯标识宜采用二维码、条形码等形式，支持消费者通过手机等终端设备扫码查询追溯信息。</w:t>
      </w:r>
    </w:p>
    <w:p w14:paraId="2E456522">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追溯标识码宜符合国际编码标准，具有唯一性、可读性和防伪性。</w:t>
      </w:r>
    </w:p>
    <w:p w14:paraId="505C99DF">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每个产品或每个批次宜有唯一的追溯标识。当最小销售单元与批次单元不一致时，宜确保最小销售单元上的追溯标识能够关联至批次追溯信息。</w:t>
      </w:r>
    </w:p>
    <w:p w14:paraId="3CF2B75C">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追溯标识的设计</w:t>
      </w:r>
      <w:r>
        <w:rPr>
          <w:rFonts w:hint="eastAsia" w:ascii="宋体" w:hAnsi="宋体" w:eastAsia="宋体" w:cs="宋体"/>
          <w:szCs w:val="21"/>
          <w:lang w:val="en-US" w:eastAsia="zh-CN"/>
        </w:rPr>
        <w:t>宜按照</w:t>
      </w:r>
      <w:r>
        <w:rPr>
          <w:rFonts w:hint="eastAsia" w:ascii="宋体" w:hAnsi="宋体" w:eastAsia="宋体" w:cs="宋体"/>
          <w:szCs w:val="21"/>
        </w:rPr>
        <w:t>GB/T 40204的要求，并兼顾产品包装的实际情况，确保标识在正常储运和使用条件下保持可识读。</w:t>
      </w:r>
    </w:p>
    <w:p w14:paraId="3F37596B">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鼓励在追溯标识中嵌入防伪技术，防止追溯码被复制或冒用。</w:t>
      </w:r>
    </w:p>
    <w:p w14:paraId="4B3F8EDD">
      <w:pPr>
        <w:pStyle w:val="51"/>
        <w:keepNext w:val="0"/>
        <w:keepLines w:val="0"/>
        <w:pageBreakBefore w:val="0"/>
        <w:widowControl/>
        <w:kinsoku/>
        <w:wordWrap/>
        <w:overflowPunct/>
        <w:topLinePunct w:val="0"/>
        <w:autoSpaceDE/>
        <w:autoSpaceDN/>
        <w:bidi w:val="0"/>
        <w:adjustRightInd/>
        <w:snapToGrid/>
        <w:spacing w:before="0" w:beforeLines="0" w:after="0" w:afterLines="0"/>
        <w:textAlignment w:val="auto"/>
        <w:rPr>
          <w:rFonts w:hint="eastAsia" w:ascii="宋体" w:hAnsi="宋体" w:eastAsia="宋体" w:cs="宋体"/>
          <w:szCs w:val="21"/>
        </w:rPr>
      </w:pPr>
      <w:r>
        <w:rPr>
          <w:rFonts w:hint="eastAsia" w:ascii="宋体" w:hAnsi="宋体" w:eastAsia="宋体" w:cs="宋体"/>
          <w:szCs w:val="21"/>
        </w:rPr>
        <w:t>富硒农产品的追溯编码与标识设计</w:t>
      </w:r>
      <w:r>
        <w:rPr>
          <w:rFonts w:hint="eastAsia" w:ascii="宋体" w:hAnsi="宋体" w:eastAsia="宋体" w:cs="宋体"/>
          <w:szCs w:val="21"/>
          <w:lang w:val="en-US" w:eastAsia="zh-CN"/>
        </w:rPr>
        <w:t>宜按照</w:t>
      </w:r>
      <w:r>
        <w:rPr>
          <w:rFonts w:hint="eastAsia" w:ascii="宋体" w:hAnsi="宋体" w:eastAsia="宋体" w:cs="宋体"/>
          <w:szCs w:val="21"/>
        </w:rPr>
        <w:t>NY/T 4711</w:t>
      </w:r>
      <w:r>
        <w:rPr>
          <w:rFonts w:hint="eastAsia" w:ascii="宋体" w:hAnsi="宋体" w:eastAsia="宋体" w:cs="宋体"/>
          <w:szCs w:val="21"/>
          <w:lang w:val="en-US" w:eastAsia="zh-CN"/>
        </w:rPr>
        <w:t>的要求</w:t>
      </w:r>
      <w:r>
        <w:rPr>
          <w:rFonts w:hint="eastAsia" w:ascii="宋体" w:hAnsi="宋体" w:eastAsia="宋体" w:cs="宋体"/>
          <w:szCs w:val="21"/>
        </w:rPr>
        <w:t>。</w:t>
      </w:r>
    </w:p>
    <w:p w14:paraId="506D555E">
      <w:pPr>
        <w:pStyle w:val="25"/>
        <w:spacing w:before="312" w:after="312"/>
        <w:rPr>
          <w:rFonts w:hint="eastAsia" w:hAnsi="Times New Roman" w:cs="Times New Roman"/>
          <w:color w:val="auto"/>
          <w:highlight w:val="none"/>
        </w:rPr>
      </w:pPr>
      <w:bookmarkStart w:id="27" w:name="_Toc3734"/>
      <w:r>
        <w:rPr>
          <w:rFonts w:hint="eastAsia" w:hAnsi="Times New Roman" w:cs="Times New Roman"/>
          <w:color w:val="auto"/>
          <w:highlight w:val="none"/>
        </w:rPr>
        <w:t>追溯管理</w:t>
      </w:r>
      <w:bookmarkEnd w:id="27"/>
    </w:p>
    <w:p w14:paraId="358A9D17">
      <w:pPr>
        <w:pStyle w:val="51"/>
        <w:spacing w:before="156" w:after="156"/>
        <w:rPr>
          <w:rFonts w:hint="eastAsia"/>
        </w:rPr>
      </w:pPr>
      <w:r>
        <w:rPr>
          <w:rFonts w:hint="eastAsia"/>
        </w:rPr>
        <w:t>职责与制度</w:t>
      </w:r>
    </w:p>
    <w:p w14:paraId="6C7E3F4B">
      <w:pPr>
        <w:pStyle w:val="52"/>
        <w:bidi w:val="0"/>
        <w:ind w:left="4" w:leftChars="0" w:hanging="4" w:firstLineChars="0"/>
        <w:outlineLvl w:val="9"/>
        <w:rPr>
          <w:rFonts w:hint="eastAsia" w:hAnsi="Times New Roman" w:cs="Times New Roman"/>
        </w:rPr>
      </w:pPr>
      <w:r>
        <w:rPr>
          <w:rFonts w:hint="eastAsia" w:hAnsi="Times New Roman" w:cs="Times New Roman"/>
        </w:rPr>
        <w:t>组织宜指定专门的部门或人员负责追溯体系的建立、运行和维护。</w:t>
      </w:r>
    </w:p>
    <w:p w14:paraId="066C85E2">
      <w:pPr>
        <w:pStyle w:val="52"/>
        <w:bidi w:val="0"/>
        <w:ind w:left="4" w:leftChars="0" w:hanging="4" w:firstLineChars="0"/>
        <w:outlineLvl w:val="9"/>
        <w:rPr>
          <w:rFonts w:hint="eastAsia" w:hAnsi="Times New Roman" w:cs="Times New Roman"/>
        </w:rPr>
      </w:pPr>
      <w:r>
        <w:rPr>
          <w:rFonts w:hint="eastAsia" w:hAnsi="Times New Roman" w:cs="Times New Roman"/>
        </w:rPr>
        <w:t>组织可制定追溯管理制度，明确各环节、各岗位的追溯职责和工作流程。</w:t>
      </w:r>
    </w:p>
    <w:p w14:paraId="43415F85">
      <w:pPr>
        <w:pStyle w:val="52"/>
        <w:bidi w:val="0"/>
        <w:ind w:left="4" w:leftChars="0" w:hanging="4" w:firstLineChars="0"/>
        <w:outlineLvl w:val="9"/>
        <w:rPr>
          <w:rFonts w:hint="eastAsia" w:hAnsi="Times New Roman" w:cs="Times New Roman"/>
        </w:rPr>
      </w:pPr>
      <w:r>
        <w:rPr>
          <w:rFonts w:hint="eastAsia" w:hAnsi="Times New Roman" w:cs="Times New Roman"/>
        </w:rPr>
        <w:t>组织可建立追溯体系运行考核机制，将追溯工作纳入相关岗位的绩效考核。</w:t>
      </w:r>
    </w:p>
    <w:p w14:paraId="34C3600C">
      <w:pPr>
        <w:pStyle w:val="51"/>
        <w:spacing w:before="156" w:after="156"/>
        <w:rPr>
          <w:rFonts w:hint="eastAsia"/>
        </w:rPr>
      </w:pPr>
      <w:r>
        <w:rPr>
          <w:rFonts w:hint="eastAsia"/>
        </w:rPr>
        <w:t>人员培训</w:t>
      </w:r>
    </w:p>
    <w:p w14:paraId="2184353B">
      <w:pPr>
        <w:pStyle w:val="52"/>
        <w:bidi w:val="0"/>
        <w:ind w:left="4" w:leftChars="0" w:hanging="4" w:firstLineChars="0"/>
        <w:outlineLvl w:val="9"/>
        <w:rPr>
          <w:rFonts w:hint="eastAsia" w:hAnsi="Times New Roman" w:cs="Times New Roman"/>
        </w:rPr>
      </w:pPr>
      <w:r>
        <w:rPr>
          <w:rFonts w:hint="eastAsia" w:hAnsi="Times New Roman" w:cs="Times New Roman"/>
        </w:rPr>
        <w:t>组织宜定期对涉及追溯工作的相关人员进行培训，培训内容可包括：</w:t>
      </w:r>
    </w:p>
    <w:p w14:paraId="55CDDFD1">
      <w:pPr>
        <w:pStyle w:val="23"/>
        <w:rPr>
          <w:rFonts w:hint="eastAsia"/>
        </w:rPr>
      </w:pPr>
      <w:r>
        <w:rPr>
          <w:rFonts w:hint="eastAsia"/>
        </w:rPr>
        <w:t>a）追溯相关法律法规和标准要求；</w:t>
      </w:r>
    </w:p>
    <w:p w14:paraId="65417DC9">
      <w:pPr>
        <w:pStyle w:val="23"/>
        <w:rPr>
          <w:rFonts w:hint="eastAsia"/>
        </w:rPr>
      </w:pPr>
      <w:r>
        <w:rPr>
          <w:rFonts w:hint="eastAsia"/>
        </w:rPr>
        <w:t>b）追溯信息记录和管理的操作规程；</w:t>
      </w:r>
    </w:p>
    <w:p w14:paraId="5E305886">
      <w:pPr>
        <w:pStyle w:val="23"/>
        <w:rPr>
          <w:rFonts w:hint="eastAsia"/>
        </w:rPr>
      </w:pPr>
      <w:r>
        <w:rPr>
          <w:rFonts w:hint="eastAsia"/>
        </w:rPr>
        <w:t>c）追溯系统的使用方法；</w:t>
      </w:r>
    </w:p>
    <w:p w14:paraId="763D1D4A">
      <w:pPr>
        <w:pStyle w:val="23"/>
        <w:rPr>
          <w:rFonts w:hint="eastAsia"/>
        </w:rPr>
      </w:pPr>
      <w:r>
        <w:rPr>
          <w:rFonts w:hint="eastAsia"/>
        </w:rPr>
        <w:t>d）应急处置和问题追溯方法。</w:t>
      </w:r>
    </w:p>
    <w:p w14:paraId="27AFF20C">
      <w:pPr>
        <w:pStyle w:val="52"/>
        <w:bidi w:val="0"/>
        <w:ind w:left="4" w:leftChars="0" w:hanging="4" w:firstLineChars="0"/>
        <w:outlineLvl w:val="9"/>
        <w:rPr>
          <w:rFonts w:hint="eastAsia"/>
        </w:rPr>
      </w:pPr>
      <w:r>
        <w:rPr>
          <w:rFonts w:hint="eastAsia"/>
        </w:rPr>
        <w:t>培训记录宜予以保存。</w:t>
      </w:r>
    </w:p>
    <w:p w14:paraId="56F07322">
      <w:pPr>
        <w:pStyle w:val="51"/>
        <w:spacing w:before="156" w:after="156"/>
        <w:rPr>
          <w:rFonts w:hint="eastAsia"/>
        </w:rPr>
      </w:pPr>
      <w:r>
        <w:rPr>
          <w:rFonts w:hint="eastAsia"/>
        </w:rPr>
        <w:t>追溯演练</w:t>
      </w:r>
    </w:p>
    <w:p w14:paraId="5EB492DF">
      <w:pPr>
        <w:pStyle w:val="52"/>
        <w:bidi w:val="0"/>
        <w:ind w:left="4" w:leftChars="0" w:hanging="4" w:firstLineChars="0"/>
        <w:outlineLvl w:val="9"/>
        <w:rPr>
          <w:rFonts w:hint="eastAsia"/>
        </w:rPr>
      </w:pPr>
      <w:r>
        <w:rPr>
          <w:rFonts w:hint="eastAsia"/>
        </w:rPr>
        <w:t>组织宜定期开展追溯演练，以验证追溯体系的有效性。追溯演练建议至少每年进行一次。</w:t>
      </w:r>
    </w:p>
    <w:p w14:paraId="24833758">
      <w:pPr>
        <w:pStyle w:val="52"/>
        <w:bidi w:val="0"/>
        <w:ind w:left="4" w:leftChars="0" w:hanging="4" w:firstLineChars="0"/>
        <w:outlineLvl w:val="9"/>
        <w:rPr>
          <w:rFonts w:hint="eastAsia"/>
        </w:rPr>
      </w:pPr>
      <w:r>
        <w:rPr>
          <w:rFonts w:hint="eastAsia"/>
        </w:rPr>
        <w:t>追溯演练可包括正向追溯（从原料到成品）和反向追溯（从成品到原料）两个方向。</w:t>
      </w:r>
    </w:p>
    <w:p w14:paraId="34532F44">
      <w:pPr>
        <w:pStyle w:val="52"/>
        <w:bidi w:val="0"/>
        <w:ind w:left="4" w:leftChars="0" w:hanging="4" w:firstLineChars="0"/>
        <w:outlineLvl w:val="9"/>
        <w:rPr>
          <w:rFonts w:hint="eastAsia"/>
        </w:rPr>
      </w:pPr>
      <w:r>
        <w:rPr>
          <w:rFonts w:hint="eastAsia"/>
        </w:rPr>
        <w:t>追溯演练宜形成报告，并对发现的问题及时整改。</w:t>
      </w:r>
    </w:p>
    <w:p w14:paraId="3DB9E469">
      <w:pPr>
        <w:pStyle w:val="51"/>
        <w:spacing w:before="156" w:after="156"/>
        <w:rPr>
          <w:rFonts w:hint="eastAsia"/>
        </w:rPr>
      </w:pPr>
      <w:r>
        <w:rPr>
          <w:rFonts w:hint="eastAsia"/>
        </w:rPr>
        <w:t>检查与审核</w:t>
      </w:r>
    </w:p>
    <w:p w14:paraId="091293FA">
      <w:pPr>
        <w:pStyle w:val="52"/>
        <w:bidi w:val="0"/>
        <w:ind w:left="4" w:leftChars="0" w:hanging="4" w:firstLineChars="0"/>
        <w:outlineLvl w:val="9"/>
        <w:rPr>
          <w:rFonts w:hint="eastAsia"/>
        </w:rPr>
      </w:pPr>
      <w:r>
        <w:rPr>
          <w:rFonts w:hint="eastAsia"/>
        </w:rPr>
        <w:t>组织可建立追溯体系日常检查机制，定期检查追溯体系的运行情况。</w:t>
      </w:r>
    </w:p>
    <w:p w14:paraId="4F41A56F">
      <w:pPr>
        <w:pStyle w:val="52"/>
        <w:bidi w:val="0"/>
        <w:ind w:left="4" w:leftChars="0" w:hanging="4" w:firstLineChars="0"/>
        <w:outlineLvl w:val="9"/>
        <w:rPr>
          <w:rFonts w:hint="eastAsia"/>
        </w:rPr>
      </w:pPr>
      <w:r>
        <w:rPr>
          <w:rFonts w:hint="eastAsia"/>
        </w:rPr>
        <w:t>组织可定期开展内部审核，评估追溯体系的符合性和有效性。内部审核建议至少每年进行一次。</w:t>
      </w:r>
    </w:p>
    <w:p w14:paraId="70ACB25D">
      <w:pPr>
        <w:pStyle w:val="52"/>
        <w:bidi w:val="0"/>
        <w:ind w:left="4" w:leftChars="0" w:hanging="4" w:firstLineChars="0"/>
        <w:outlineLvl w:val="9"/>
        <w:rPr>
          <w:rFonts w:hint="eastAsia"/>
        </w:rPr>
      </w:pPr>
      <w:r>
        <w:rPr>
          <w:rFonts w:hint="eastAsia"/>
        </w:rPr>
        <w:t>对于检查或审核中发现的不符合项，宜采取纠正措施并跟踪验证。</w:t>
      </w:r>
    </w:p>
    <w:p w14:paraId="0AAC6895">
      <w:pPr>
        <w:pStyle w:val="51"/>
        <w:spacing w:before="156" w:after="156"/>
        <w:rPr>
          <w:rFonts w:hint="eastAsia"/>
        </w:rPr>
      </w:pPr>
      <w:r>
        <w:rPr>
          <w:rFonts w:hint="eastAsia"/>
        </w:rPr>
        <w:t>信息传递与沟通</w:t>
      </w:r>
    </w:p>
    <w:p w14:paraId="1F4EF690">
      <w:pPr>
        <w:pStyle w:val="52"/>
        <w:bidi w:val="0"/>
        <w:ind w:left="4" w:leftChars="0" w:hanging="4" w:firstLineChars="0"/>
        <w:outlineLvl w:val="9"/>
        <w:rPr>
          <w:rFonts w:hint="eastAsia"/>
        </w:rPr>
      </w:pPr>
      <w:r>
        <w:rPr>
          <w:rFonts w:hint="eastAsia"/>
        </w:rPr>
        <w:t>组织宜确保追溯范围上、下游组织间信息的有效传递和沟通。</w:t>
      </w:r>
    </w:p>
    <w:p w14:paraId="66A13EDE">
      <w:pPr>
        <w:pStyle w:val="52"/>
        <w:bidi w:val="0"/>
        <w:ind w:left="4" w:leftChars="0" w:hanging="4" w:firstLineChars="0"/>
        <w:outlineLvl w:val="9"/>
        <w:rPr>
          <w:rFonts w:hint="eastAsia"/>
        </w:rPr>
      </w:pPr>
      <w:r>
        <w:rPr>
          <w:rFonts w:hint="eastAsia"/>
        </w:rPr>
        <w:t>组织可与供应商、客户等外部相关方建立信息共享机制，明确信息交换的内容、格式和频率。</w:t>
      </w:r>
    </w:p>
    <w:p w14:paraId="735CFBDE">
      <w:pPr>
        <w:pStyle w:val="52"/>
        <w:bidi w:val="0"/>
        <w:ind w:left="4" w:leftChars="0" w:hanging="4" w:firstLineChars="0"/>
        <w:outlineLvl w:val="9"/>
        <w:rPr>
          <w:rFonts w:hint="eastAsia"/>
        </w:rPr>
      </w:pPr>
      <w:r>
        <w:rPr>
          <w:rFonts w:hint="eastAsia"/>
        </w:rPr>
        <w:t>涉及商业秘密的信息，可在信息共享时予以适当保护。</w:t>
      </w:r>
    </w:p>
    <w:p w14:paraId="57D5CE45">
      <w:pPr>
        <w:pStyle w:val="25"/>
        <w:spacing w:before="312" w:after="312"/>
        <w:rPr>
          <w:rFonts w:hint="eastAsia" w:hAnsi="Times New Roman" w:cs="Times New Roman"/>
          <w:color w:val="auto"/>
          <w:highlight w:val="none"/>
        </w:rPr>
      </w:pPr>
      <w:bookmarkStart w:id="28" w:name="_Toc25408"/>
      <w:r>
        <w:rPr>
          <w:rFonts w:hint="eastAsia" w:hAnsi="Times New Roman" w:cs="Times New Roman"/>
          <w:color w:val="auto"/>
          <w:highlight w:val="none"/>
        </w:rPr>
        <w:t>追溯信息技术</w:t>
      </w:r>
      <w:bookmarkEnd w:id="28"/>
    </w:p>
    <w:p w14:paraId="13E31815">
      <w:pPr>
        <w:pStyle w:val="51"/>
        <w:spacing w:before="156" w:after="156"/>
        <w:rPr>
          <w:rFonts w:hint="eastAsia"/>
        </w:rPr>
      </w:pPr>
      <w:r>
        <w:rPr>
          <w:rFonts w:hint="eastAsia"/>
        </w:rPr>
        <w:t>信息系统要求</w:t>
      </w:r>
    </w:p>
    <w:p w14:paraId="16CCDA5D">
      <w:pPr>
        <w:pStyle w:val="52"/>
        <w:bidi w:val="0"/>
        <w:ind w:left="4" w:leftChars="0" w:hanging="4" w:firstLineChars="0"/>
        <w:outlineLvl w:val="9"/>
        <w:rPr>
          <w:rFonts w:hint="eastAsia"/>
        </w:rPr>
      </w:pPr>
      <w:r>
        <w:rPr>
          <w:rFonts w:hint="eastAsia"/>
        </w:rPr>
        <w:t>鼓励组织建立或接入富硒产品追溯信息系统，实现追溯信息的电子化管理和查询服务。</w:t>
      </w:r>
    </w:p>
    <w:p w14:paraId="0472317F">
      <w:pPr>
        <w:pStyle w:val="52"/>
        <w:bidi w:val="0"/>
        <w:ind w:left="4" w:leftChars="0" w:hanging="4" w:firstLineChars="0"/>
        <w:outlineLvl w:val="9"/>
        <w:rPr>
          <w:rFonts w:hint="eastAsia"/>
        </w:rPr>
      </w:pPr>
      <w:r>
        <w:rPr>
          <w:rFonts w:hint="eastAsia"/>
        </w:rPr>
        <w:t>追溯信息系统</w:t>
      </w:r>
      <w:r>
        <w:rPr>
          <w:rFonts w:hint="eastAsia"/>
          <w:lang w:val="en-US" w:eastAsia="zh-CN"/>
        </w:rPr>
        <w:t>宜符合</w:t>
      </w:r>
      <w:r>
        <w:rPr>
          <w:rFonts w:hint="eastAsia"/>
        </w:rPr>
        <w:t>GB/T 38158的基本要求，具备信息采集、存储、查询、导出和统计分析等功能。</w:t>
      </w:r>
    </w:p>
    <w:p w14:paraId="1D21DBFB">
      <w:pPr>
        <w:pStyle w:val="52"/>
        <w:bidi w:val="0"/>
        <w:ind w:left="4" w:leftChars="0" w:hanging="4" w:firstLineChars="0"/>
        <w:outlineLvl w:val="9"/>
        <w:rPr>
          <w:rFonts w:hint="eastAsia"/>
        </w:rPr>
      </w:pPr>
      <w:r>
        <w:rPr>
          <w:rFonts w:hint="eastAsia"/>
        </w:rPr>
        <w:t>系统宜支持消费者通过追溯标识查询产品的追溯信息，查询响应时间宜符合相关规定。</w:t>
      </w:r>
    </w:p>
    <w:p w14:paraId="36B51FEB">
      <w:pPr>
        <w:pStyle w:val="51"/>
        <w:spacing w:before="156" w:after="156"/>
        <w:rPr>
          <w:rFonts w:hint="eastAsia"/>
        </w:rPr>
      </w:pPr>
      <w:r>
        <w:rPr>
          <w:rFonts w:hint="eastAsia"/>
        </w:rPr>
        <w:t>信息存储</w:t>
      </w:r>
    </w:p>
    <w:p w14:paraId="2EF9966E">
      <w:pPr>
        <w:pStyle w:val="52"/>
        <w:bidi w:val="0"/>
        <w:ind w:left="4" w:leftChars="0" w:hanging="4" w:firstLineChars="0"/>
        <w:outlineLvl w:val="9"/>
        <w:rPr>
          <w:rFonts w:hint="eastAsia"/>
        </w:rPr>
      </w:pPr>
      <w:r>
        <w:rPr>
          <w:rFonts w:hint="eastAsia"/>
        </w:rPr>
        <w:t>追溯信息的存储宜采用安全可靠的介质和设备，以降低数据丢失或被非法篡改的风险。</w:t>
      </w:r>
    </w:p>
    <w:p w14:paraId="27F3A092">
      <w:pPr>
        <w:pStyle w:val="52"/>
        <w:bidi w:val="0"/>
        <w:ind w:left="4" w:leftChars="0" w:hanging="4" w:firstLineChars="0"/>
        <w:outlineLvl w:val="9"/>
        <w:rPr>
          <w:rFonts w:hint="eastAsia"/>
        </w:rPr>
      </w:pPr>
      <w:r>
        <w:rPr>
          <w:rFonts w:hint="eastAsia"/>
        </w:rPr>
        <w:t>关键追溯信息宜采用冗余备份机制，防止数据因设备故障或意外事件而丢失。</w:t>
      </w:r>
    </w:p>
    <w:p w14:paraId="119D9E73">
      <w:pPr>
        <w:pStyle w:val="51"/>
        <w:spacing w:before="156" w:after="156"/>
        <w:rPr>
          <w:rFonts w:hint="eastAsia"/>
        </w:rPr>
      </w:pPr>
      <w:r>
        <w:rPr>
          <w:rFonts w:hint="eastAsia"/>
        </w:rPr>
        <w:t>信息安全</w:t>
      </w:r>
    </w:p>
    <w:p w14:paraId="73BC1F73">
      <w:pPr>
        <w:pStyle w:val="52"/>
        <w:bidi w:val="0"/>
        <w:ind w:left="4" w:leftChars="0" w:hanging="4" w:firstLineChars="0"/>
        <w:outlineLvl w:val="9"/>
        <w:rPr>
          <w:rFonts w:hint="eastAsia"/>
        </w:rPr>
      </w:pPr>
      <w:r>
        <w:rPr>
          <w:rFonts w:hint="eastAsia"/>
        </w:rPr>
        <w:t>追溯信息系统宜采取必要的安全措施，防止数据被非法访问、窃取或破坏。</w:t>
      </w:r>
    </w:p>
    <w:p w14:paraId="662D2047">
      <w:pPr>
        <w:pStyle w:val="52"/>
        <w:bidi w:val="0"/>
        <w:ind w:left="4" w:leftChars="0" w:hanging="4" w:firstLineChars="0"/>
        <w:outlineLvl w:val="9"/>
        <w:rPr>
          <w:rFonts w:hint="eastAsia"/>
        </w:rPr>
      </w:pPr>
      <w:r>
        <w:rPr>
          <w:rFonts w:hint="eastAsia"/>
        </w:rPr>
        <w:t>涉及消费者个人信息（如购买记录等）的收集和使用，符合</w:t>
      </w:r>
      <w:r>
        <w:rPr>
          <w:rFonts w:hint="eastAsia"/>
          <w:lang w:val="en-US" w:eastAsia="zh-CN"/>
        </w:rPr>
        <w:t>GB/T 35273</w:t>
      </w:r>
      <w:r>
        <w:rPr>
          <w:rFonts w:hint="eastAsia"/>
        </w:rPr>
        <w:t>的要求。</w:t>
      </w:r>
    </w:p>
    <w:p w14:paraId="775EFE9A">
      <w:pPr>
        <w:pStyle w:val="51"/>
        <w:spacing w:before="156" w:after="156"/>
        <w:rPr>
          <w:rFonts w:hint="eastAsia"/>
        </w:rPr>
      </w:pPr>
      <w:r>
        <w:rPr>
          <w:rFonts w:hint="eastAsia"/>
        </w:rPr>
        <w:t>数据交换与共享</w:t>
      </w:r>
    </w:p>
    <w:p w14:paraId="21E46F9B">
      <w:pPr>
        <w:pStyle w:val="52"/>
        <w:bidi w:val="0"/>
        <w:ind w:left="4" w:leftChars="0" w:hanging="4" w:firstLineChars="0"/>
        <w:outlineLvl w:val="9"/>
        <w:rPr>
          <w:rFonts w:hint="eastAsia"/>
        </w:rPr>
      </w:pPr>
      <w:r>
        <w:rPr>
          <w:rFonts w:hint="eastAsia"/>
        </w:rPr>
        <w:t>追溯信息系统宜支持标准化的数据交换格式，便于与上下游组织的系统对接。</w:t>
      </w:r>
    </w:p>
    <w:p w14:paraId="628277E0">
      <w:pPr>
        <w:pStyle w:val="52"/>
        <w:bidi w:val="0"/>
        <w:ind w:left="4" w:leftChars="0" w:hanging="4" w:firstLineChars="0"/>
        <w:outlineLvl w:val="9"/>
        <w:rPr>
          <w:rFonts w:hint="eastAsia"/>
        </w:rPr>
      </w:pPr>
      <w:r>
        <w:rPr>
          <w:rFonts w:hint="eastAsia"/>
          <w:lang w:val="en-US" w:eastAsia="zh-CN"/>
        </w:rPr>
        <w:t>农产品</w:t>
      </w:r>
      <w:r>
        <w:rPr>
          <w:rFonts w:hint="eastAsia"/>
        </w:rPr>
        <w:t>追溯信息的数据格式和数据交换</w:t>
      </w:r>
      <w:r>
        <w:rPr>
          <w:rFonts w:hint="eastAsia"/>
          <w:lang w:val="en-US" w:eastAsia="zh-CN"/>
        </w:rPr>
        <w:t>符合</w:t>
      </w:r>
      <w:r>
        <w:rPr>
          <w:rFonts w:hint="eastAsia"/>
        </w:rPr>
        <w:t>NY/T 4712和NY/T 4713的要求，确保与上下游组织的信息系统互联互通。</w:t>
      </w:r>
    </w:p>
    <w:p w14:paraId="40A4C1A4">
      <w:pPr>
        <w:pStyle w:val="52"/>
        <w:bidi w:val="0"/>
        <w:ind w:left="4" w:leftChars="0" w:hanging="4" w:firstLineChars="0"/>
        <w:outlineLvl w:val="9"/>
        <w:rPr>
          <w:rFonts w:hint="eastAsia"/>
        </w:rPr>
      </w:pPr>
      <w:r>
        <w:rPr>
          <w:rFonts w:hint="eastAsia"/>
        </w:rPr>
        <w:t>鼓励采用区块链等分布式账本技术，以提升追溯信息的可信度和防篡改能力。</w:t>
      </w:r>
    </w:p>
    <w:p w14:paraId="34CF8F79">
      <w:pPr>
        <w:pStyle w:val="25"/>
        <w:spacing w:before="312" w:after="312"/>
        <w:rPr>
          <w:rFonts w:hint="eastAsia" w:hAnsi="Times New Roman" w:cs="Times New Roman"/>
          <w:color w:val="auto"/>
          <w:highlight w:val="none"/>
        </w:rPr>
      </w:pPr>
      <w:bookmarkStart w:id="29" w:name="_Toc15776"/>
      <w:r>
        <w:rPr>
          <w:rFonts w:hint="eastAsia" w:hAnsi="Times New Roman" w:cs="Times New Roman"/>
          <w:color w:val="auto"/>
          <w:highlight w:val="none"/>
        </w:rPr>
        <w:t>追溯评价</w:t>
      </w:r>
      <w:bookmarkEnd w:id="29"/>
    </w:p>
    <w:p w14:paraId="47A646BA">
      <w:pPr>
        <w:pStyle w:val="51"/>
        <w:keepNext w:val="0"/>
        <w:keepLines w:val="0"/>
        <w:pageBreakBefore w:val="0"/>
        <w:widowControl/>
        <w:kinsoku/>
        <w:wordWrap/>
        <w:overflowPunct/>
        <w:topLinePunct w:val="0"/>
        <w:autoSpaceDE/>
        <w:autoSpaceDN/>
        <w:bidi w:val="0"/>
        <w:adjustRightInd/>
        <w:snapToGrid/>
        <w:spacing w:before="0" w:beforeLines="0" w:after="0" w:afterLines="0"/>
        <w:ind w:left="0" w:leftChars="0" w:firstLine="0" w:firstLineChars="0"/>
        <w:textAlignment w:val="auto"/>
        <w:rPr>
          <w:rFonts w:hint="eastAsia" w:ascii="宋体" w:hAnsi="宋体" w:eastAsia="宋体" w:cs="宋体"/>
        </w:rPr>
      </w:pPr>
      <w:r>
        <w:rPr>
          <w:rFonts w:hint="eastAsia" w:ascii="宋体" w:hAnsi="宋体" w:eastAsia="宋体" w:cs="宋体"/>
        </w:rPr>
        <w:t>组织宜对富硒产品追溯体系进行评价，评价</w:t>
      </w:r>
      <w:r>
        <w:rPr>
          <w:rFonts w:hint="eastAsia" w:ascii="宋体" w:hAnsi="宋体" w:eastAsia="宋体" w:cs="宋体"/>
          <w:lang w:val="en-US" w:eastAsia="zh-CN"/>
        </w:rPr>
        <w:t>内容</w:t>
      </w:r>
      <w:bookmarkStart w:id="74" w:name="_GoBack"/>
      <w:bookmarkEnd w:id="74"/>
      <w:r>
        <w:rPr>
          <w:rFonts w:hint="eastAsia" w:ascii="宋体" w:hAnsi="宋体" w:eastAsia="宋体" w:cs="宋体"/>
        </w:rPr>
        <w:t>包括追溯体系完整性、富硒关键控制点覆盖情况、追溯编码、追溯标识、追溯信息记录、追溯信息系统和追溯演练等。</w:t>
      </w:r>
    </w:p>
    <w:p w14:paraId="1BF6AC44">
      <w:pPr>
        <w:pStyle w:val="51"/>
        <w:keepNext w:val="0"/>
        <w:keepLines w:val="0"/>
        <w:pageBreakBefore w:val="0"/>
        <w:widowControl/>
        <w:kinsoku/>
        <w:wordWrap/>
        <w:overflowPunct/>
        <w:topLinePunct w:val="0"/>
        <w:autoSpaceDE/>
        <w:autoSpaceDN/>
        <w:bidi w:val="0"/>
        <w:adjustRightInd/>
        <w:snapToGrid/>
        <w:spacing w:before="0" w:beforeLines="0" w:after="0" w:afterLines="0"/>
        <w:ind w:left="0" w:leftChars="0" w:firstLine="0" w:firstLineChars="0"/>
        <w:textAlignment w:val="auto"/>
        <w:rPr>
          <w:rFonts w:hint="eastAsia" w:ascii="宋体" w:hAnsi="宋体" w:eastAsia="宋体" w:cs="宋体"/>
        </w:rPr>
        <w:sectPr>
          <w:headerReference r:id="rId8" w:type="default"/>
          <w:footerReference r:id="rId10" w:type="default"/>
          <w:headerReference r:id="rId9" w:type="even"/>
          <w:footerReference r:id="rId11" w:type="even"/>
          <w:pgSz w:w="11906" w:h="16838"/>
          <w:pgMar w:top="1440" w:right="1800" w:bottom="1440" w:left="1800" w:header="1417" w:footer="1134" w:gutter="0"/>
          <w:pgNumType w:fmt="decimal" w:start="1"/>
          <w:cols w:space="425" w:num="1"/>
          <w:docGrid w:type="lines" w:linePitch="312" w:charSpace="0"/>
        </w:sectPr>
      </w:pPr>
      <w:r>
        <w:rPr>
          <w:rFonts w:hint="eastAsia" w:ascii="宋体" w:hAnsi="宋体" w:eastAsia="宋体" w:cs="宋体"/>
        </w:rPr>
        <w:t>追溯评价建议至少每年进行一次。发生重大工艺变更、供应商变更、产品召回或消费者投诉时，宜及时开展专项评价</w:t>
      </w:r>
      <w:r>
        <w:rPr>
          <w:rFonts w:hint="eastAsia" w:ascii="宋体" w:hAnsi="宋体" w:eastAsia="宋体" w:cs="宋体"/>
          <w:lang w:eastAsia="zh-CN"/>
        </w:rPr>
        <w:t>。</w:t>
      </w:r>
    </w:p>
    <w:p w14:paraId="772F4FC1">
      <w:pPr>
        <w:pStyle w:val="22"/>
        <w:numPr>
          <w:ilvl w:val="0"/>
          <w:numId w:val="0"/>
        </w:numPr>
        <w:spacing w:before="560" w:beforeLines="0" w:after="156" w:afterLines="50"/>
        <w:jc w:val="center"/>
        <w:rPr>
          <w:lang w:bidi="ar"/>
        </w:rPr>
      </w:pPr>
      <w:bookmarkStart w:id="30" w:name="_Toc3693"/>
      <w:r>
        <w:rPr>
          <w:rFonts w:hint="eastAsia"/>
          <w:lang w:bidi="ar"/>
        </w:rPr>
        <w:t>附 录 A</w:t>
      </w:r>
    </w:p>
    <w:p w14:paraId="1389C2BE">
      <w:pPr>
        <w:pStyle w:val="22"/>
        <w:numPr>
          <w:ilvl w:val="0"/>
          <w:numId w:val="0"/>
        </w:numPr>
        <w:spacing w:before="156" w:beforeLines="50" w:after="156" w:afterLines="50"/>
        <w:jc w:val="center"/>
        <w:rPr>
          <w:lang w:bidi="ar"/>
        </w:rPr>
      </w:pPr>
      <w:bookmarkStart w:id="31" w:name="_Toc22488"/>
      <w:r>
        <w:rPr>
          <w:rFonts w:hint="eastAsia"/>
          <w:lang w:bidi="ar"/>
        </w:rPr>
        <w:t>(资料性)</w:t>
      </w:r>
      <w:bookmarkEnd w:id="31"/>
    </w:p>
    <w:p w14:paraId="7729A1D7">
      <w:pPr>
        <w:pStyle w:val="22"/>
        <w:numPr>
          <w:ilvl w:val="0"/>
          <w:numId w:val="0"/>
        </w:numPr>
        <w:spacing w:before="156" w:beforeLines="50" w:after="156" w:afterLines="50"/>
        <w:jc w:val="center"/>
        <w:rPr>
          <w:lang w:bidi="ar"/>
        </w:rPr>
      </w:pPr>
      <w:bookmarkStart w:id="32" w:name="_Toc7910"/>
      <w:r>
        <w:rPr>
          <w:rFonts w:hint="eastAsia"/>
          <w:lang w:bidi="ar"/>
        </w:rPr>
        <w:t>富硒农产品各环节追溯信息示例</w:t>
      </w:r>
      <w:bookmarkEnd w:id="32"/>
    </w:p>
    <w:p w14:paraId="37E7C1A3">
      <w:pPr>
        <w:pStyle w:val="23"/>
        <w:rPr>
          <w:rFonts w:hint="default" w:eastAsiaTheme="minorEastAsia"/>
          <w:lang w:val="en-US" w:eastAsia="zh-CN"/>
        </w:rPr>
      </w:pPr>
      <w:r>
        <w:rPr>
          <w:rFonts w:hint="eastAsia"/>
        </w:rPr>
        <w:t>富硒农产品各环节追溯信息示例</w:t>
      </w:r>
      <w:r>
        <w:rPr>
          <w:rFonts w:hint="eastAsia"/>
          <w:lang w:val="en-US" w:eastAsia="zh-CN"/>
        </w:rPr>
        <w:t>见表A.1。</w:t>
      </w:r>
    </w:p>
    <w:tbl>
      <w:tblPr>
        <w:tblStyle w:val="16"/>
        <w:tblW w:w="7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251"/>
        <w:gridCol w:w="2182"/>
        <w:gridCol w:w="1391"/>
        <w:gridCol w:w="2939"/>
      </w:tblGrid>
      <w:tr w14:paraId="5DF6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0" w:hRule="atLeast"/>
          <w:jc w:val="center"/>
        </w:trPr>
        <w:tc>
          <w:tcPr>
            <w:tcW w:w="7763" w:type="dxa"/>
            <w:gridSpan w:val="4"/>
            <w:tcBorders>
              <w:top w:val="nil"/>
              <w:left w:val="nil"/>
              <w:bottom w:val="single" w:color="auto" w:sz="4" w:space="0"/>
              <w:right w:val="nil"/>
            </w:tcBorders>
            <w:shd w:val="clear" w:color="auto" w:fill="FFFFFF"/>
            <w:tcMar>
              <w:top w:w="150" w:type="dxa"/>
              <w:left w:w="0" w:type="dxa"/>
              <w:bottom w:w="150" w:type="dxa"/>
              <w:right w:w="240" w:type="dxa"/>
            </w:tcMar>
            <w:vAlign w:val="center"/>
          </w:tcPr>
          <w:p w14:paraId="0C57E179">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center"/>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黑体" w:hAnsi="黑体" w:eastAsia="黑体" w:cs="黑体"/>
                <w:lang w:val="en-US" w:eastAsia="zh-CN"/>
              </w:rPr>
              <w:t>表A.1 富硒农产品追溯信息内容示例</w:t>
            </w:r>
          </w:p>
        </w:tc>
      </w:tr>
      <w:tr w14:paraId="0C20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tcBorders>
              <w:top w:val="single" w:color="auto" w:sz="4" w:space="0"/>
            </w:tcBorders>
            <w:shd w:val="clear" w:color="auto" w:fill="FFFFFF"/>
            <w:tcMar>
              <w:top w:w="150" w:type="dxa"/>
              <w:left w:w="0" w:type="dxa"/>
              <w:bottom w:w="150" w:type="dxa"/>
              <w:right w:w="240" w:type="dxa"/>
            </w:tcMar>
            <w:vAlign w:val="center"/>
          </w:tcPr>
          <w:p w14:paraId="664304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环节</w:t>
            </w:r>
          </w:p>
        </w:tc>
        <w:tc>
          <w:tcPr>
            <w:tcW w:w="2182" w:type="dxa"/>
            <w:tcBorders>
              <w:top w:val="single" w:color="auto" w:sz="4" w:space="0"/>
            </w:tcBorders>
            <w:shd w:val="clear" w:color="auto" w:fill="FFFFFF"/>
            <w:tcMar>
              <w:top w:w="150" w:type="dxa"/>
              <w:left w:w="240" w:type="dxa"/>
              <w:bottom w:w="150" w:type="dxa"/>
              <w:right w:w="240" w:type="dxa"/>
            </w:tcMar>
            <w:vAlign w:val="center"/>
          </w:tcPr>
          <w:p w14:paraId="0A90182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数据项</w:t>
            </w:r>
          </w:p>
        </w:tc>
        <w:tc>
          <w:tcPr>
            <w:tcW w:w="1391" w:type="dxa"/>
            <w:tcBorders>
              <w:top w:val="single" w:color="auto" w:sz="4" w:space="0"/>
            </w:tcBorders>
            <w:shd w:val="clear" w:color="auto" w:fill="FFFFFF"/>
            <w:tcMar>
              <w:top w:w="150" w:type="dxa"/>
              <w:left w:w="240" w:type="dxa"/>
              <w:bottom w:w="150" w:type="dxa"/>
              <w:right w:w="240" w:type="dxa"/>
            </w:tcMar>
            <w:vAlign w:val="center"/>
          </w:tcPr>
          <w:p w14:paraId="3BCF6D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数据类型</w:t>
            </w:r>
          </w:p>
        </w:tc>
        <w:tc>
          <w:tcPr>
            <w:tcW w:w="2939" w:type="dxa"/>
            <w:tcBorders>
              <w:top w:val="single" w:color="auto" w:sz="4" w:space="0"/>
            </w:tcBorders>
            <w:shd w:val="clear" w:color="auto" w:fill="FFFFFF"/>
            <w:tcMar>
              <w:top w:w="150" w:type="dxa"/>
              <w:left w:w="240" w:type="dxa"/>
              <w:bottom w:w="150" w:type="dxa"/>
              <w:right w:w="240" w:type="dxa"/>
            </w:tcMar>
            <w:vAlign w:val="center"/>
          </w:tcPr>
          <w:p w14:paraId="2BAE648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校验规则</w:t>
            </w:r>
          </w:p>
        </w:tc>
      </w:tr>
      <w:tr w14:paraId="10B4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03FAEC8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产地环境</w:t>
            </w:r>
          </w:p>
        </w:tc>
        <w:tc>
          <w:tcPr>
            <w:tcW w:w="2182" w:type="dxa"/>
            <w:shd w:val="clear" w:color="auto" w:fill="FFFFFF"/>
            <w:tcMar>
              <w:top w:w="150" w:type="dxa"/>
              <w:left w:w="240" w:type="dxa"/>
              <w:bottom w:w="150" w:type="dxa"/>
              <w:right w:w="240" w:type="dxa"/>
            </w:tcMar>
            <w:vAlign w:val="center"/>
          </w:tcPr>
          <w:p w14:paraId="508B35F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产地名称</w:t>
            </w:r>
          </w:p>
        </w:tc>
        <w:tc>
          <w:tcPr>
            <w:tcW w:w="1391" w:type="dxa"/>
            <w:shd w:val="clear" w:color="auto" w:fill="FFFFFF"/>
            <w:tcMar>
              <w:top w:w="150" w:type="dxa"/>
              <w:left w:w="240" w:type="dxa"/>
              <w:bottom w:w="150" w:type="dxa"/>
              <w:right w:w="240" w:type="dxa"/>
            </w:tcMar>
            <w:vAlign w:val="center"/>
          </w:tcPr>
          <w:p w14:paraId="17BD658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0EF1CA9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非空，≤100字符</w:t>
            </w:r>
          </w:p>
        </w:tc>
      </w:tr>
      <w:tr w14:paraId="6059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70D5A04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产地环境</w:t>
            </w:r>
          </w:p>
        </w:tc>
        <w:tc>
          <w:tcPr>
            <w:tcW w:w="2182" w:type="dxa"/>
            <w:shd w:val="clear" w:color="auto" w:fill="FFFFFF"/>
            <w:tcMar>
              <w:top w:w="150" w:type="dxa"/>
              <w:left w:w="240" w:type="dxa"/>
              <w:bottom w:w="150" w:type="dxa"/>
              <w:right w:w="240" w:type="dxa"/>
            </w:tcMar>
            <w:vAlign w:val="center"/>
          </w:tcPr>
          <w:p w14:paraId="0FF4A1E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地块编号</w:t>
            </w:r>
          </w:p>
        </w:tc>
        <w:tc>
          <w:tcPr>
            <w:tcW w:w="1391" w:type="dxa"/>
            <w:shd w:val="clear" w:color="auto" w:fill="FFFFFF"/>
            <w:tcMar>
              <w:top w:w="150" w:type="dxa"/>
              <w:left w:w="240" w:type="dxa"/>
              <w:bottom w:w="150" w:type="dxa"/>
              <w:right w:w="240" w:type="dxa"/>
            </w:tcMar>
            <w:vAlign w:val="center"/>
          </w:tcPr>
          <w:p w14:paraId="4B7B62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4CD899B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唯一，关联地理位置</w:t>
            </w:r>
          </w:p>
        </w:tc>
      </w:tr>
      <w:tr w14:paraId="6233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6830973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产地环境</w:t>
            </w:r>
          </w:p>
        </w:tc>
        <w:tc>
          <w:tcPr>
            <w:tcW w:w="2182" w:type="dxa"/>
            <w:shd w:val="clear" w:color="auto" w:fill="FFFFFF"/>
            <w:tcMar>
              <w:top w:w="150" w:type="dxa"/>
              <w:left w:w="240" w:type="dxa"/>
              <w:bottom w:w="150" w:type="dxa"/>
              <w:right w:w="240" w:type="dxa"/>
            </w:tcMar>
            <w:vAlign w:val="center"/>
          </w:tcPr>
          <w:p w14:paraId="0EF65D7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土壤硒含量</w:t>
            </w:r>
          </w:p>
        </w:tc>
        <w:tc>
          <w:tcPr>
            <w:tcW w:w="1391" w:type="dxa"/>
            <w:shd w:val="clear" w:color="auto" w:fill="FFFFFF"/>
            <w:tcMar>
              <w:top w:w="150" w:type="dxa"/>
              <w:left w:w="240" w:type="dxa"/>
              <w:bottom w:w="150" w:type="dxa"/>
              <w:right w:w="240" w:type="dxa"/>
            </w:tcMar>
            <w:vAlign w:val="center"/>
          </w:tcPr>
          <w:p w14:paraId="67D4567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649739B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0～100 mg/kg，保留2位小数</w:t>
            </w:r>
          </w:p>
        </w:tc>
      </w:tr>
      <w:tr w14:paraId="1959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32E3F09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产地环境</w:t>
            </w:r>
          </w:p>
        </w:tc>
        <w:tc>
          <w:tcPr>
            <w:tcW w:w="2182" w:type="dxa"/>
            <w:shd w:val="clear" w:color="auto" w:fill="FFFFFF"/>
            <w:tcMar>
              <w:top w:w="150" w:type="dxa"/>
              <w:left w:w="240" w:type="dxa"/>
              <w:bottom w:w="150" w:type="dxa"/>
              <w:right w:w="240" w:type="dxa"/>
            </w:tcMar>
            <w:vAlign w:val="center"/>
          </w:tcPr>
          <w:p w14:paraId="7BEC0B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土壤有效硒</w:t>
            </w:r>
          </w:p>
        </w:tc>
        <w:tc>
          <w:tcPr>
            <w:tcW w:w="1391" w:type="dxa"/>
            <w:shd w:val="clear" w:color="auto" w:fill="FFFFFF"/>
            <w:tcMar>
              <w:top w:w="150" w:type="dxa"/>
              <w:left w:w="240" w:type="dxa"/>
              <w:bottom w:w="150" w:type="dxa"/>
              <w:right w:w="240" w:type="dxa"/>
            </w:tcMar>
            <w:vAlign w:val="center"/>
          </w:tcPr>
          <w:p w14:paraId="2D30326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177C29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0～10 mg/kg</w:t>
            </w:r>
          </w:p>
        </w:tc>
      </w:tr>
      <w:tr w14:paraId="2AFD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0F36751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产地环境</w:t>
            </w:r>
          </w:p>
        </w:tc>
        <w:tc>
          <w:tcPr>
            <w:tcW w:w="2182" w:type="dxa"/>
            <w:shd w:val="clear" w:color="auto" w:fill="FFFFFF"/>
            <w:tcMar>
              <w:top w:w="150" w:type="dxa"/>
              <w:left w:w="240" w:type="dxa"/>
              <w:bottom w:w="150" w:type="dxa"/>
              <w:right w:w="240" w:type="dxa"/>
            </w:tcMar>
            <w:vAlign w:val="center"/>
          </w:tcPr>
          <w:p w14:paraId="6EB4551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灌溉水硒含量</w:t>
            </w:r>
          </w:p>
        </w:tc>
        <w:tc>
          <w:tcPr>
            <w:tcW w:w="1391" w:type="dxa"/>
            <w:shd w:val="clear" w:color="auto" w:fill="FFFFFF"/>
            <w:tcMar>
              <w:top w:w="150" w:type="dxa"/>
              <w:left w:w="240" w:type="dxa"/>
              <w:bottom w:w="150" w:type="dxa"/>
              <w:right w:w="240" w:type="dxa"/>
            </w:tcMar>
            <w:vAlign w:val="center"/>
          </w:tcPr>
          <w:p w14:paraId="4F44604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5CF4788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 mg/kg</w:t>
            </w:r>
          </w:p>
        </w:tc>
      </w:tr>
      <w:tr w14:paraId="6ECB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56FBC23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0CEB6D0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硒肥/硒饲料名称</w:t>
            </w:r>
          </w:p>
        </w:tc>
        <w:tc>
          <w:tcPr>
            <w:tcW w:w="1391" w:type="dxa"/>
            <w:shd w:val="clear" w:color="auto" w:fill="FFFFFF"/>
            <w:tcMar>
              <w:top w:w="150" w:type="dxa"/>
              <w:left w:w="240" w:type="dxa"/>
              <w:bottom w:w="150" w:type="dxa"/>
              <w:right w:w="240" w:type="dxa"/>
            </w:tcMar>
            <w:vAlign w:val="center"/>
          </w:tcPr>
          <w:p w14:paraId="50C1480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3E30ACF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w:t>
            </w:r>
          </w:p>
        </w:tc>
      </w:tr>
      <w:tr w14:paraId="418A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442C02F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7B0066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硒形态</w:t>
            </w:r>
          </w:p>
        </w:tc>
        <w:tc>
          <w:tcPr>
            <w:tcW w:w="1391" w:type="dxa"/>
            <w:shd w:val="clear" w:color="auto" w:fill="FFFFFF"/>
            <w:tcMar>
              <w:top w:w="150" w:type="dxa"/>
              <w:left w:w="240" w:type="dxa"/>
              <w:bottom w:w="150" w:type="dxa"/>
              <w:right w:w="240" w:type="dxa"/>
            </w:tcMar>
            <w:vAlign w:val="center"/>
          </w:tcPr>
          <w:p w14:paraId="1570E0E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枚举型</w:t>
            </w:r>
          </w:p>
        </w:tc>
        <w:tc>
          <w:tcPr>
            <w:tcW w:w="2939" w:type="dxa"/>
            <w:shd w:val="clear" w:color="auto" w:fill="FFFFFF"/>
            <w:tcMar>
              <w:top w:w="150" w:type="dxa"/>
              <w:left w:w="240" w:type="dxa"/>
              <w:bottom w:w="150" w:type="dxa"/>
              <w:right w:w="240" w:type="dxa"/>
            </w:tcMar>
            <w:vAlign w:val="center"/>
          </w:tcPr>
          <w:p w14:paraId="32CFE61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无机硒/有机硒/生物硒</w:t>
            </w:r>
          </w:p>
        </w:tc>
      </w:tr>
      <w:tr w14:paraId="1E6A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4CD659D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3F31550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硒含量</w:t>
            </w:r>
          </w:p>
        </w:tc>
        <w:tc>
          <w:tcPr>
            <w:tcW w:w="1391" w:type="dxa"/>
            <w:shd w:val="clear" w:color="auto" w:fill="FFFFFF"/>
            <w:tcMar>
              <w:top w:w="150" w:type="dxa"/>
              <w:left w:w="240" w:type="dxa"/>
              <w:bottom w:w="150" w:type="dxa"/>
              <w:right w:w="240" w:type="dxa"/>
            </w:tcMar>
            <w:vAlign w:val="center"/>
          </w:tcPr>
          <w:p w14:paraId="0662979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419D9D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单位mg/kg或%，≥0</w:t>
            </w:r>
          </w:p>
        </w:tc>
      </w:tr>
      <w:tr w14:paraId="1319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4915DA9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74742AF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用量</w:t>
            </w:r>
          </w:p>
        </w:tc>
        <w:tc>
          <w:tcPr>
            <w:tcW w:w="1391" w:type="dxa"/>
            <w:shd w:val="clear" w:color="auto" w:fill="FFFFFF"/>
            <w:tcMar>
              <w:top w:w="150" w:type="dxa"/>
              <w:left w:w="240" w:type="dxa"/>
              <w:bottom w:w="150" w:type="dxa"/>
              <w:right w:w="240" w:type="dxa"/>
            </w:tcMar>
            <w:vAlign w:val="center"/>
          </w:tcPr>
          <w:p w14:paraId="13E302F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1D8BA48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单位kg/亩或mg/kg饲料，≥0</w:t>
            </w:r>
          </w:p>
        </w:tc>
      </w:tr>
      <w:tr w14:paraId="3FE2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5D3CA98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638D04F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使用时间</w:t>
            </w:r>
          </w:p>
        </w:tc>
        <w:tc>
          <w:tcPr>
            <w:tcW w:w="1391" w:type="dxa"/>
            <w:shd w:val="clear" w:color="auto" w:fill="FFFFFF"/>
            <w:tcMar>
              <w:top w:w="150" w:type="dxa"/>
              <w:left w:w="240" w:type="dxa"/>
              <w:bottom w:w="150" w:type="dxa"/>
              <w:right w:w="240" w:type="dxa"/>
            </w:tcMar>
            <w:vAlign w:val="center"/>
          </w:tcPr>
          <w:p w14:paraId="3A1F5EA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日期型</w:t>
            </w:r>
          </w:p>
        </w:tc>
        <w:tc>
          <w:tcPr>
            <w:tcW w:w="2939" w:type="dxa"/>
            <w:shd w:val="clear" w:color="auto" w:fill="FFFFFF"/>
            <w:tcMar>
              <w:top w:w="150" w:type="dxa"/>
              <w:left w:w="240" w:type="dxa"/>
              <w:bottom w:w="150" w:type="dxa"/>
              <w:right w:w="240" w:type="dxa"/>
            </w:tcMar>
            <w:vAlign w:val="center"/>
          </w:tcPr>
          <w:p w14:paraId="4A878B1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w:t>
            </w:r>
          </w:p>
        </w:tc>
      </w:tr>
      <w:tr w14:paraId="7675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75D2502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投入品</w:t>
            </w:r>
          </w:p>
        </w:tc>
        <w:tc>
          <w:tcPr>
            <w:tcW w:w="2182" w:type="dxa"/>
            <w:shd w:val="clear" w:color="auto" w:fill="FFFFFF"/>
            <w:tcMar>
              <w:top w:w="150" w:type="dxa"/>
              <w:left w:w="240" w:type="dxa"/>
              <w:bottom w:w="150" w:type="dxa"/>
              <w:right w:w="240" w:type="dxa"/>
            </w:tcMar>
            <w:vAlign w:val="center"/>
          </w:tcPr>
          <w:p w14:paraId="12AC493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使用方式</w:t>
            </w:r>
          </w:p>
        </w:tc>
        <w:tc>
          <w:tcPr>
            <w:tcW w:w="1391" w:type="dxa"/>
            <w:shd w:val="clear" w:color="auto" w:fill="FFFFFF"/>
            <w:tcMar>
              <w:top w:w="150" w:type="dxa"/>
              <w:left w:w="240" w:type="dxa"/>
              <w:bottom w:w="150" w:type="dxa"/>
              <w:right w:w="240" w:type="dxa"/>
            </w:tcMar>
            <w:vAlign w:val="center"/>
          </w:tcPr>
          <w:p w14:paraId="066E505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枚举型</w:t>
            </w:r>
          </w:p>
        </w:tc>
        <w:tc>
          <w:tcPr>
            <w:tcW w:w="2939" w:type="dxa"/>
            <w:shd w:val="clear" w:color="auto" w:fill="FFFFFF"/>
            <w:tcMar>
              <w:top w:w="150" w:type="dxa"/>
              <w:left w:w="240" w:type="dxa"/>
              <w:bottom w:w="150" w:type="dxa"/>
              <w:right w:w="240" w:type="dxa"/>
            </w:tcMar>
            <w:vAlign w:val="center"/>
          </w:tcPr>
          <w:p w14:paraId="0E3C150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基施/追施/喷施/饲喂</w:t>
            </w:r>
          </w:p>
        </w:tc>
      </w:tr>
      <w:tr w14:paraId="1457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735971E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种植养殖</w:t>
            </w:r>
          </w:p>
        </w:tc>
        <w:tc>
          <w:tcPr>
            <w:tcW w:w="2182" w:type="dxa"/>
            <w:shd w:val="clear" w:color="auto" w:fill="FFFFFF"/>
            <w:tcMar>
              <w:top w:w="150" w:type="dxa"/>
              <w:left w:w="240" w:type="dxa"/>
              <w:bottom w:w="150" w:type="dxa"/>
              <w:right w:w="240" w:type="dxa"/>
            </w:tcMar>
            <w:vAlign w:val="center"/>
          </w:tcPr>
          <w:p w14:paraId="32C60C4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品种名称</w:t>
            </w:r>
          </w:p>
        </w:tc>
        <w:tc>
          <w:tcPr>
            <w:tcW w:w="1391" w:type="dxa"/>
            <w:shd w:val="clear" w:color="auto" w:fill="FFFFFF"/>
            <w:tcMar>
              <w:top w:w="150" w:type="dxa"/>
              <w:left w:w="240" w:type="dxa"/>
              <w:bottom w:w="150" w:type="dxa"/>
              <w:right w:w="240" w:type="dxa"/>
            </w:tcMar>
            <w:vAlign w:val="center"/>
          </w:tcPr>
          <w:p w14:paraId="794D0A6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24F0331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w:t>
            </w:r>
          </w:p>
        </w:tc>
      </w:tr>
      <w:tr w14:paraId="541E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48E5F7B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种植养殖</w:t>
            </w:r>
          </w:p>
        </w:tc>
        <w:tc>
          <w:tcPr>
            <w:tcW w:w="2182" w:type="dxa"/>
            <w:shd w:val="clear" w:color="auto" w:fill="FFFFFF"/>
            <w:tcMar>
              <w:top w:w="150" w:type="dxa"/>
              <w:left w:w="240" w:type="dxa"/>
              <w:bottom w:w="150" w:type="dxa"/>
              <w:right w:w="240" w:type="dxa"/>
            </w:tcMar>
            <w:vAlign w:val="center"/>
          </w:tcPr>
          <w:p w14:paraId="592F13A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播种/定植/放养时间</w:t>
            </w:r>
          </w:p>
        </w:tc>
        <w:tc>
          <w:tcPr>
            <w:tcW w:w="1391" w:type="dxa"/>
            <w:shd w:val="clear" w:color="auto" w:fill="FFFFFF"/>
            <w:tcMar>
              <w:top w:w="150" w:type="dxa"/>
              <w:left w:w="240" w:type="dxa"/>
              <w:bottom w:w="150" w:type="dxa"/>
              <w:right w:w="240" w:type="dxa"/>
            </w:tcMar>
            <w:vAlign w:val="center"/>
          </w:tcPr>
          <w:p w14:paraId="6868675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日期型</w:t>
            </w:r>
          </w:p>
        </w:tc>
        <w:tc>
          <w:tcPr>
            <w:tcW w:w="2939" w:type="dxa"/>
            <w:shd w:val="clear" w:color="auto" w:fill="FFFFFF"/>
            <w:tcMar>
              <w:top w:w="150" w:type="dxa"/>
              <w:left w:w="240" w:type="dxa"/>
              <w:bottom w:w="150" w:type="dxa"/>
              <w:right w:w="240" w:type="dxa"/>
            </w:tcMar>
            <w:vAlign w:val="center"/>
          </w:tcPr>
          <w:p w14:paraId="6168168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w:t>
            </w:r>
          </w:p>
        </w:tc>
      </w:tr>
      <w:tr w14:paraId="6866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0821304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种植养殖</w:t>
            </w:r>
          </w:p>
        </w:tc>
        <w:tc>
          <w:tcPr>
            <w:tcW w:w="2182" w:type="dxa"/>
            <w:shd w:val="clear" w:color="auto" w:fill="FFFFFF"/>
            <w:tcMar>
              <w:top w:w="150" w:type="dxa"/>
              <w:left w:w="240" w:type="dxa"/>
              <w:bottom w:w="150" w:type="dxa"/>
              <w:right w:w="240" w:type="dxa"/>
            </w:tcMar>
            <w:vAlign w:val="center"/>
          </w:tcPr>
          <w:p w14:paraId="253F43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硒富集操作记录</w:t>
            </w:r>
          </w:p>
        </w:tc>
        <w:tc>
          <w:tcPr>
            <w:tcW w:w="1391" w:type="dxa"/>
            <w:shd w:val="clear" w:color="auto" w:fill="FFFFFF"/>
            <w:tcMar>
              <w:top w:w="150" w:type="dxa"/>
              <w:left w:w="240" w:type="dxa"/>
              <w:bottom w:w="150" w:type="dxa"/>
              <w:right w:w="240" w:type="dxa"/>
            </w:tcMar>
            <w:vAlign w:val="center"/>
          </w:tcPr>
          <w:p w14:paraId="77372F4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6C71071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记录次数、时间、用量</w:t>
            </w:r>
          </w:p>
        </w:tc>
      </w:tr>
      <w:tr w14:paraId="70BA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109ED98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采收/出栏</w:t>
            </w:r>
          </w:p>
        </w:tc>
        <w:tc>
          <w:tcPr>
            <w:tcW w:w="2182" w:type="dxa"/>
            <w:shd w:val="clear" w:color="auto" w:fill="FFFFFF"/>
            <w:tcMar>
              <w:top w:w="150" w:type="dxa"/>
              <w:left w:w="240" w:type="dxa"/>
              <w:bottom w:w="150" w:type="dxa"/>
              <w:right w:w="240" w:type="dxa"/>
            </w:tcMar>
            <w:vAlign w:val="center"/>
          </w:tcPr>
          <w:p w14:paraId="7F4D35F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采收/出栏时间</w:t>
            </w:r>
          </w:p>
        </w:tc>
        <w:tc>
          <w:tcPr>
            <w:tcW w:w="1391" w:type="dxa"/>
            <w:shd w:val="clear" w:color="auto" w:fill="FFFFFF"/>
            <w:tcMar>
              <w:top w:w="150" w:type="dxa"/>
              <w:left w:w="240" w:type="dxa"/>
              <w:bottom w:w="150" w:type="dxa"/>
              <w:right w:w="240" w:type="dxa"/>
            </w:tcMar>
            <w:vAlign w:val="center"/>
          </w:tcPr>
          <w:p w14:paraId="6344417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日期时间型</w:t>
            </w:r>
          </w:p>
        </w:tc>
        <w:tc>
          <w:tcPr>
            <w:tcW w:w="2939" w:type="dxa"/>
            <w:shd w:val="clear" w:color="auto" w:fill="FFFFFF"/>
            <w:tcMar>
              <w:top w:w="150" w:type="dxa"/>
              <w:left w:w="240" w:type="dxa"/>
              <w:bottom w:w="150" w:type="dxa"/>
              <w:right w:w="240" w:type="dxa"/>
            </w:tcMar>
            <w:vAlign w:val="center"/>
          </w:tcPr>
          <w:p w14:paraId="5720400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 HH:MM</w:t>
            </w:r>
          </w:p>
        </w:tc>
      </w:tr>
      <w:tr w14:paraId="5B3F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0" w:hRule="atLeast"/>
          <w:jc w:val="center"/>
        </w:trPr>
        <w:tc>
          <w:tcPr>
            <w:tcW w:w="7763" w:type="dxa"/>
            <w:gridSpan w:val="4"/>
            <w:tcBorders>
              <w:top w:val="nil"/>
              <w:left w:val="nil"/>
              <w:bottom w:val="single" w:color="auto" w:sz="4" w:space="0"/>
              <w:right w:val="nil"/>
            </w:tcBorders>
            <w:shd w:val="clear" w:color="auto" w:fill="FFFFFF"/>
            <w:tcMar>
              <w:top w:w="150" w:type="dxa"/>
              <w:left w:w="0" w:type="dxa"/>
              <w:bottom w:w="150" w:type="dxa"/>
              <w:right w:w="240" w:type="dxa"/>
            </w:tcMar>
            <w:vAlign w:val="center"/>
          </w:tcPr>
          <w:p w14:paraId="1247DB37">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center"/>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黑体" w:hAnsi="黑体" w:eastAsia="黑体" w:cs="黑体"/>
                <w:lang w:val="en-US" w:eastAsia="zh-CN"/>
              </w:rPr>
              <w:t>表A.1 富硒农产品追溯信息内容示例（续）</w:t>
            </w:r>
          </w:p>
        </w:tc>
      </w:tr>
      <w:tr w14:paraId="02301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tcBorders>
              <w:top w:val="single" w:color="auto" w:sz="4" w:space="0"/>
            </w:tcBorders>
            <w:shd w:val="clear" w:color="auto" w:fill="FFFFFF"/>
            <w:tcMar>
              <w:top w:w="150" w:type="dxa"/>
              <w:left w:w="0" w:type="dxa"/>
              <w:bottom w:w="150" w:type="dxa"/>
              <w:right w:w="240" w:type="dxa"/>
            </w:tcMar>
            <w:vAlign w:val="center"/>
          </w:tcPr>
          <w:p w14:paraId="3938CD0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环节</w:t>
            </w:r>
          </w:p>
        </w:tc>
        <w:tc>
          <w:tcPr>
            <w:tcW w:w="2182" w:type="dxa"/>
            <w:tcBorders>
              <w:top w:val="single" w:color="auto" w:sz="4" w:space="0"/>
            </w:tcBorders>
            <w:shd w:val="clear" w:color="auto" w:fill="FFFFFF"/>
            <w:tcMar>
              <w:top w:w="150" w:type="dxa"/>
              <w:left w:w="240" w:type="dxa"/>
              <w:bottom w:w="150" w:type="dxa"/>
              <w:right w:w="240" w:type="dxa"/>
            </w:tcMar>
            <w:vAlign w:val="center"/>
          </w:tcPr>
          <w:p w14:paraId="76E7C8D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数据项</w:t>
            </w:r>
          </w:p>
        </w:tc>
        <w:tc>
          <w:tcPr>
            <w:tcW w:w="1391" w:type="dxa"/>
            <w:tcBorders>
              <w:top w:val="single" w:color="auto" w:sz="4" w:space="0"/>
            </w:tcBorders>
            <w:shd w:val="clear" w:color="auto" w:fill="FFFFFF"/>
            <w:tcMar>
              <w:top w:w="150" w:type="dxa"/>
              <w:left w:w="240" w:type="dxa"/>
              <w:bottom w:w="150" w:type="dxa"/>
              <w:right w:w="240" w:type="dxa"/>
            </w:tcMar>
            <w:vAlign w:val="center"/>
          </w:tcPr>
          <w:p w14:paraId="65BE7A4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数据类型</w:t>
            </w:r>
          </w:p>
        </w:tc>
        <w:tc>
          <w:tcPr>
            <w:tcW w:w="2939" w:type="dxa"/>
            <w:tcBorders>
              <w:top w:val="single" w:color="auto" w:sz="4" w:space="0"/>
            </w:tcBorders>
            <w:shd w:val="clear" w:color="auto" w:fill="FFFFFF"/>
            <w:tcMar>
              <w:top w:w="150" w:type="dxa"/>
              <w:left w:w="240" w:type="dxa"/>
              <w:bottom w:w="150" w:type="dxa"/>
              <w:right w:w="240" w:type="dxa"/>
            </w:tcMar>
            <w:vAlign w:val="center"/>
          </w:tcPr>
          <w:p w14:paraId="319CC31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校验规则</w:t>
            </w:r>
          </w:p>
        </w:tc>
      </w:tr>
      <w:tr w14:paraId="35CF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02C78F6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采收/出栏</w:t>
            </w:r>
          </w:p>
        </w:tc>
        <w:tc>
          <w:tcPr>
            <w:tcW w:w="2182" w:type="dxa"/>
            <w:shd w:val="clear" w:color="auto" w:fill="FFFFFF"/>
            <w:tcMar>
              <w:top w:w="150" w:type="dxa"/>
              <w:left w:w="240" w:type="dxa"/>
              <w:bottom w:w="150" w:type="dxa"/>
              <w:right w:w="240" w:type="dxa"/>
            </w:tcMar>
            <w:vAlign w:val="center"/>
          </w:tcPr>
          <w:p w14:paraId="2F697C1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批次号</w:t>
            </w:r>
          </w:p>
        </w:tc>
        <w:tc>
          <w:tcPr>
            <w:tcW w:w="1391" w:type="dxa"/>
            <w:shd w:val="clear" w:color="auto" w:fill="FFFFFF"/>
            <w:tcMar>
              <w:top w:w="150" w:type="dxa"/>
              <w:left w:w="240" w:type="dxa"/>
              <w:bottom w:w="150" w:type="dxa"/>
              <w:right w:w="240" w:type="dxa"/>
            </w:tcMar>
            <w:vAlign w:val="center"/>
          </w:tcPr>
          <w:p w14:paraId="0510E85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687158E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唯一，关联种植养殖批次</w:t>
            </w:r>
          </w:p>
        </w:tc>
      </w:tr>
      <w:tr w14:paraId="4A01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5D5753D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采收/出栏</w:t>
            </w:r>
          </w:p>
        </w:tc>
        <w:tc>
          <w:tcPr>
            <w:tcW w:w="2182" w:type="dxa"/>
            <w:shd w:val="clear" w:color="auto" w:fill="FFFFFF"/>
            <w:tcMar>
              <w:top w:w="150" w:type="dxa"/>
              <w:left w:w="240" w:type="dxa"/>
              <w:bottom w:w="150" w:type="dxa"/>
              <w:right w:w="240" w:type="dxa"/>
            </w:tcMar>
            <w:vAlign w:val="center"/>
          </w:tcPr>
          <w:p w14:paraId="4530D85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原料硒初检值</w:t>
            </w:r>
          </w:p>
        </w:tc>
        <w:tc>
          <w:tcPr>
            <w:tcW w:w="1391" w:type="dxa"/>
            <w:shd w:val="clear" w:color="auto" w:fill="FFFFFF"/>
            <w:tcMar>
              <w:top w:w="150" w:type="dxa"/>
              <w:left w:w="240" w:type="dxa"/>
              <w:bottom w:w="150" w:type="dxa"/>
              <w:right w:w="240" w:type="dxa"/>
            </w:tcMar>
            <w:vAlign w:val="center"/>
          </w:tcPr>
          <w:p w14:paraId="754EB23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0C0996C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0～100 mg/kg</w:t>
            </w:r>
          </w:p>
        </w:tc>
      </w:tr>
      <w:tr w14:paraId="6DCE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3429B39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检测检验</w:t>
            </w:r>
          </w:p>
        </w:tc>
        <w:tc>
          <w:tcPr>
            <w:tcW w:w="2182" w:type="dxa"/>
            <w:shd w:val="clear" w:color="auto" w:fill="FFFFFF"/>
            <w:tcMar>
              <w:top w:w="150" w:type="dxa"/>
              <w:left w:w="240" w:type="dxa"/>
              <w:bottom w:w="150" w:type="dxa"/>
              <w:right w:w="240" w:type="dxa"/>
            </w:tcMar>
            <w:vAlign w:val="center"/>
          </w:tcPr>
          <w:p w14:paraId="5A4B5AD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硒含量检测值</w:t>
            </w:r>
          </w:p>
        </w:tc>
        <w:tc>
          <w:tcPr>
            <w:tcW w:w="1391" w:type="dxa"/>
            <w:shd w:val="clear" w:color="auto" w:fill="FFFFFF"/>
            <w:tcMar>
              <w:top w:w="150" w:type="dxa"/>
              <w:left w:w="240" w:type="dxa"/>
              <w:bottom w:w="150" w:type="dxa"/>
              <w:right w:w="240" w:type="dxa"/>
            </w:tcMar>
            <w:vAlign w:val="center"/>
          </w:tcPr>
          <w:p w14:paraId="597CB9E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398203C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按检测方法范围</w:t>
            </w:r>
          </w:p>
        </w:tc>
      </w:tr>
      <w:tr w14:paraId="69F2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137200A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检测检验</w:t>
            </w:r>
          </w:p>
        </w:tc>
        <w:tc>
          <w:tcPr>
            <w:tcW w:w="2182" w:type="dxa"/>
            <w:shd w:val="clear" w:color="auto" w:fill="FFFFFF"/>
            <w:tcMar>
              <w:top w:w="150" w:type="dxa"/>
              <w:left w:w="240" w:type="dxa"/>
              <w:bottom w:w="150" w:type="dxa"/>
              <w:right w:w="240" w:type="dxa"/>
            </w:tcMar>
            <w:vAlign w:val="center"/>
          </w:tcPr>
          <w:p w14:paraId="77534DA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硒形态</w:t>
            </w:r>
          </w:p>
        </w:tc>
        <w:tc>
          <w:tcPr>
            <w:tcW w:w="1391" w:type="dxa"/>
            <w:shd w:val="clear" w:color="auto" w:fill="FFFFFF"/>
            <w:tcMar>
              <w:top w:w="150" w:type="dxa"/>
              <w:left w:w="240" w:type="dxa"/>
              <w:bottom w:w="150" w:type="dxa"/>
              <w:right w:w="240" w:type="dxa"/>
            </w:tcMar>
            <w:vAlign w:val="center"/>
          </w:tcPr>
          <w:p w14:paraId="0611FDC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78ED362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如无机硒、有机硒</w:t>
            </w:r>
          </w:p>
        </w:tc>
      </w:tr>
      <w:tr w14:paraId="7ED9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635FF3B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检测检验</w:t>
            </w:r>
          </w:p>
        </w:tc>
        <w:tc>
          <w:tcPr>
            <w:tcW w:w="2182" w:type="dxa"/>
            <w:shd w:val="clear" w:color="auto" w:fill="FFFFFF"/>
            <w:tcMar>
              <w:top w:w="150" w:type="dxa"/>
              <w:left w:w="240" w:type="dxa"/>
              <w:bottom w:w="150" w:type="dxa"/>
              <w:right w:w="240" w:type="dxa"/>
            </w:tcMar>
            <w:vAlign w:val="center"/>
          </w:tcPr>
          <w:p w14:paraId="1795107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检测机构</w:t>
            </w:r>
          </w:p>
        </w:tc>
        <w:tc>
          <w:tcPr>
            <w:tcW w:w="1391" w:type="dxa"/>
            <w:shd w:val="clear" w:color="auto" w:fill="FFFFFF"/>
            <w:tcMar>
              <w:top w:w="150" w:type="dxa"/>
              <w:left w:w="240" w:type="dxa"/>
              <w:bottom w:w="150" w:type="dxa"/>
              <w:right w:w="240" w:type="dxa"/>
            </w:tcMar>
            <w:vAlign w:val="center"/>
          </w:tcPr>
          <w:p w14:paraId="1DA86B7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79D5592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w:t>
            </w:r>
          </w:p>
        </w:tc>
      </w:tr>
      <w:tr w14:paraId="15E1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15514A1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检测检验</w:t>
            </w:r>
          </w:p>
        </w:tc>
        <w:tc>
          <w:tcPr>
            <w:tcW w:w="2182" w:type="dxa"/>
            <w:shd w:val="clear" w:color="auto" w:fill="FFFFFF"/>
            <w:tcMar>
              <w:top w:w="150" w:type="dxa"/>
              <w:left w:w="240" w:type="dxa"/>
              <w:bottom w:w="150" w:type="dxa"/>
              <w:right w:w="240" w:type="dxa"/>
            </w:tcMar>
            <w:vAlign w:val="center"/>
          </w:tcPr>
          <w:p w14:paraId="33232A2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报告编号</w:t>
            </w:r>
          </w:p>
        </w:tc>
        <w:tc>
          <w:tcPr>
            <w:tcW w:w="1391" w:type="dxa"/>
            <w:shd w:val="clear" w:color="auto" w:fill="FFFFFF"/>
            <w:tcMar>
              <w:top w:w="150" w:type="dxa"/>
              <w:left w:w="240" w:type="dxa"/>
              <w:bottom w:w="150" w:type="dxa"/>
              <w:right w:w="240" w:type="dxa"/>
            </w:tcMar>
            <w:vAlign w:val="center"/>
          </w:tcPr>
          <w:p w14:paraId="383BF08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3809B93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唯一</w:t>
            </w:r>
          </w:p>
        </w:tc>
      </w:tr>
      <w:tr w14:paraId="3224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11BF6B0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加工生产</w:t>
            </w:r>
          </w:p>
        </w:tc>
        <w:tc>
          <w:tcPr>
            <w:tcW w:w="2182" w:type="dxa"/>
            <w:shd w:val="clear" w:color="auto" w:fill="FFFFFF"/>
            <w:tcMar>
              <w:top w:w="150" w:type="dxa"/>
              <w:left w:w="240" w:type="dxa"/>
              <w:bottom w:w="150" w:type="dxa"/>
              <w:right w:w="240" w:type="dxa"/>
            </w:tcMar>
            <w:vAlign w:val="center"/>
          </w:tcPr>
          <w:p w14:paraId="5B9DE24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原料批次</w:t>
            </w:r>
          </w:p>
        </w:tc>
        <w:tc>
          <w:tcPr>
            <w:tcW w:w="1391" w:type="dxa"/>
            <w:shd w:val="clear" w:color="auto" w:fill="FFFFFF"/>
            <w:tcMar>
              <w:top w:w="150" w:type="dxa"/>
              <w:left w:w="240" w:type="dxa"/>
              <w:bottom w:w="150" w:type="dxa"/>
              <w:right w:w="240" w:type="dxa"/>
            </w:tcMar>
            <w:vAlign w:val="center"/>
          </w:tcPr>
          <w:p w14:paraId="233B2F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7E045E7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关联采收批次</w:t>
            </w:r>
          </w:p>
        </w:tc>
      </w:tr>
      <w:tr w14:paraId="1ADF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63EBC7A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加工生产</w:t>
            </w:r>
          </w:p>
        </w:tc>
        <w:tc>
          <w:tcPr>
            <w:tcW w:w="2182" w:type="dxa"/>
            <w:shd w:val="clear" w:color="auto" w:fill="FFFFFF"/>
            <w:tcMar>
              <w:top w:w="150" w:type="dxa"/>
              <w:left w:w="240" w:type="dxa"/>
              <w:bottom w:w="150" w:type="dxa"/>
              <w:right w:w="240" w:type="dxa"/>
            </w:tcMar>
            <w:vAlign w:val="center"/>
          </w:tcPr>
          <w:p w14:paraId="01B9CEA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关键工艺参数</w:t>
            </w:r>
          </w:p>
        </w:tc>
        <w:tc>
          <w:tcPr>
            <w:tcW w:w="1391" w:type="dxa"/>
            <w:shd w:val="clear" w:color="auto" w:fill="FFFFFF"/>
            <w:tcMar>
              <w:top w:w="150" w:type="dxa"/>
              <w:left w:w="240" w:type="dxa"/>
              <w:bottom w:w="150" w:type="dxa"/>
              <w:right w:w="240" w:type="dxa"/>
            </w:tcMar>
            <w:vAlign w:val="center"/>
          </w:tcPr>
          <w:p w14:paraId="1E396CE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字符型/数字型</w:t>
            </w:r>
          </w:p>
        </w:tc>
        <w:tc>
          <w:tcPr>
            <w:tcW w:w="2939" w:type="dxa"/>
            <w:shd w:val="clear" w:color="auto" w:fill="FFFFFF"/>
            <w:tcMar>
              <w:top w:w="150" w:type="dxa"/>
              <w:left w:w="240" w:type="dxa"/>
              <w:bottom w:w="150" w:type="dxa"/>
              <w:right w:w="240" w:type="dxa"/>
            </w:tcMar>
            <w:vAlign w:val="center"/>
          </w:tcPr>
          <w:p w14:paraId="3013F35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温度、时间等</w:t>
            </w:r>
          </w:p>
        </w:tc>
      </w:tr>
      <w:tr w14:paraId="5FDD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2F1C5BB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加工生产</w:t>
            </w:r>
          </w:p>
        </w:tc>
        <w:tc>
          <w:tcPr>
            <w:tcW w:w="2182" w:type="dxa"/>
            <w:shd w:val="clear" w:color="auto" w:fill="FFFFFF"/>
            <w:tcMar>
              <w:top w:w="150" w:type="dxa"/>
              <w:left w:w="240" w:type="dxa"/>
              <w:bottom w:w="150" w:type="dxa"/>
              <w:right w:w="240" w:type="dxa"/>
            </w:tcMar>
            <w:vAlign w:val="center"/>
          </w:tcPr>
          <w:p w14:paraId="07BC4A3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成品硒含量</w:t>
            </w:r>
          </w:p>
        </w:tc>
        <w:tc>
          <w:tcPr>
            <w:tcW w:w="1391" w:type="dxa"/>
            <w:shd w:val="clear" w:color="auto" w:fill="FFFFFF"/>
            <w:tcMar>
              <w:top w:w="150" w:type="dxa"/>
              <w:left w:w="240" w:type="dxa"/>
              <w:bottom w:w="150" w:type="dxa"/>
              <w:right w:w="240" w:type="dxa"/>
            </w:tcMar>
            <w:vAlign w:val="center"/>
          </w:tcPr>
          <w:p w14:paraId="648D2C6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097E89D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0～100 mg/kg</w:t>
            </w:r>
          </w:p>
        </w:tc>
      </w:tr>
      <w:tr w14:paraId="25A3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6E2C76C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加工生产</w:t>
            </w:r>
          </w:p>
        </w:tc>
        <w:tc>
          <w:tcPr>
            <w:tcW w:w="2182" w:type="dxa"/>
            <w:shd w:val="clear" w:color="auto" w:fill="FFFFFF"/>
            <w:tcMar>
              <w:top w:w="150" w:type="dxa"/>
              <w:left w:w="240" w:type="dxa"/>
              <w:bottom w:w="150" w:type="dxa"/>
              <w:right w:w="240" w:type="dxa"/>
            </w:tcMar>
            <w:vAlign w:val="center"/>
          </w:tcPr>
          <w:p w14:paraId="71577A3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富硒等级</w:t>
            </w:r>
          </w:p>
        </w:tc>
        <w:tc>
          <w:tcPr>
            <w:tcW w:w="1391" w:type="dxa"/>
            <w:shd w:val="clear" w:color="auto" w:fill="FFFFFF"/>
            <w:tcMar>
              <w:top w:w="150" w:type="dxa"/>
              <w:left w:w="240" w:type="dxa"/>
              <w:bottom w:w="150" w:type="dxa"/>
              <w:right w:w="240" w:type="dxa"/>
            </w:tcMar>
            <w:vAlign w:val="center"/>
          </w:tcPr>
          <w:p w14:paraId="303DCEE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枚举型</w:t>
            </w:r>
          </w:p>
        </w:tc>
        <w:tc>
          <w:tcPr>
            <w:tcW w:w="2939" w:type="dxa"/>
            <w:shd w:val="clear" w:color="auto" w:fill="FFFFFF"/>
            <w:tcMar>
              <w:top w:w="150" w:type="dxa"/>
              <w:left w:w="240" w:type="dxa"/>
              <w:bottom w:w="150" w:type="dxa"/>
              <w:right w:w="240" w:type="dxa"/>
            </w:tcMar>
            <w:vAlign w:val="center"/>
          </w:tcPr>
          <w:p w14:paraId="43353E1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按RB/T 138或产品标准</w:t>
            </w:r>
          </w:p>
        </w:tc>
      </w:tr>
      <w:tr w14:paraId="48C4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53B3E86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包装赋码</w:t>
            </w:r>
          </w:p>
        </w:tc>
        <w:tc>
          <w:tcPr>
            <w:tcW w:w="2182" w:type="dxa"/>
            <w:shd w:val="clear" w:color="auto" w:fill="FFFFFF"/>
            <w:tcMar>
              <w:top w:w="150" w:type="dxa"/>
              <w:left w:w="240" w:type="dxa"/>
              <w:bottom w:w="150" w:type="dxa"/>
              <w:right w:w="240" w:type="dxa"/>
            </w:tcMar>
            <w:vAlign w:val="center"/>
          </w:tcPr>
          <w:p w14:paraId="236DEB1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包装时间</w:t>
            </w:r>
          </w:p>
        </w:tc>
        <w:tc>
          <w:tcPr>
            <w:tcW w:w="1391" w:type="dxa"/>
            <w:shd w:val="clear" w:color="auto" w:fill="FFFFFF"/>
            <w:tcMar>
              <w:top w:w="150" w:type="dxa"/>
              <w:left w:w="240" w:type="dxa"/>
              <w:bottom w:w="150" w:type="dxa"/>
              <w:right w:w="240" w:type="dxa"/>
            </w:tcMar>
            <w:vAlign w:val="center"/>
          </w:tcPr>
          <w:p w14:paraId="60C59C7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日期时间型</w:t>
            </w:r>
          </w:p>
        </w:tc>
        <w:tc>
          <w:tcPr>
            <w:tcW w:w="2939" w:type="dxa"/>
            <w:shd w:val="clear" w:color="auto" w:fill="FFFFFF"/>
            <w:tcMar>
              <w:top w:w="150" w:type="dxa"/>
              <w:left w:w="240" w:type="dxa"/>
              <w:bottom w:w="150" w:type="dxa"/>
              <w:right w:w="240" w:type="dxa"/>
            </w:tcMar>
            <w:vAlign w:val="center"/>
          </w:tcPr>
          <w:p w14:paraId="0C46824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 HH:MM</w:t>
            </w:r>
          </w:p>
        </w:tc>
      </w:tr>
      <w:tr w14:paraId="32B8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34DE0EE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包装赋码</w:t>
            </w:r>
          </w:p>
        </w:tc>
        <w:tc>
          <w:tcPr>
            <w:tcW w:w="2182" w:type="dxa"/>
            <w:shd w:val="clear" w:color="auto" w:fill="FFFFFF"/>
            <w:tcMar>
              <w:top w:w="150" w:type="dxa"/>
              <w:left w:w="240" w:type="dxa"/>
              <w:bottom w:w="150" w:type="dxa"/>
              <w:right w:w="240" w:type="dxa"/>
            </w:tcMar>
            <w:vAlign w:val="center"/>
          </w:tcPr>
          <w:p w14:paraId="308B893F">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追溯码</w:t>
            </w:r>
          </w:p>
        </w:tc>
        <w:tc>
          <w:tcPr>
            <w:tcW w:w="1391" w:type="dxa"/>
            <w:shd w:val="clear" w:color="auto" w:fill="FFFFFF"/>
            <w:tcMar>
              <w:top w:w="150" w:type="dxa"/>
              <w:left w:w="240" w:type="dxa"/>
              <w:bottom w:w="150" w:type="dxa"/>
              <w:right w:w="240" w:type="dxa"/>
            </w:tcMar>
            <w:vAlign w:val="center"/>
          </w:tcPr>
          <w:p w14:paraId="3EF2E1D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4C48452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符合第6章</w:t>
            </w:r>
          </w:p>
        </w:tc>
      </w:tr>
      <w:tr w14:paraId="0F07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33EE556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包装赋码</w:t>
            </w:r>
          </w:p>
        </w:tc>
        <w:tc>
          <w:tcPr>
            <w:tcW w:w="2182" w:type="dxa"/>
            <w:shd w:val="clear" w:color="auto" w:fill="FFFFFF"/>
            <w:tcMar>
              <w:top w:w="150" w:type="dxa"/>
              <w:left w:w="240" w:type="dxa"/>
              <w:bottom w:w="150" w:type="dxa"/>
              <w:right w:w="240" w:type="dxa"/>
            </w:tcMar>
            <w:vAlign w:val="center"/>
          </w:tcPr>
          <w:p w14:paraId="71F0EFF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富硒等级标识</w:t>
            </w:r>
          </w:p>
        </w:tc>
        <w:tc>
          <w:tcPr>
            <w:tcW w:w="1391" w:type="dxa"/>
            <w:shd w:val="clear" w:color="auto" w:fill="FFFFFF"/>
            <w:tcMar>
              <w:top w:w="150" w:type="dxa"/>
              <w:left w:w="240" w:type="dxa"/>
              <w:bottom w:w="150" w:type="dxa"/>
              <w:right w:w="240" w:type="dxa"/>
            </w:tcMar>
            <w:vAlign w:val="center"/>
          </w:tcPr>
          <w:p w14:paraId="6597AFD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枚举型</w:t>
            </w:r>
          </w:p>
        </w:tc>
        <w:tc>
          <w:tcPr>
            <w:tcW w:w="2939" w:type="dxa"/>
            <w:shd w:val="clear" w:color="auto" w:fill="FFFFFF"/>
            <w:tcMar>
              <w:top w:w="150" w:type="dxa"/>
              <w:left w:w="240" w:type="dxa"/>
              <w:bottom w:w="150" w:type="dxa"/>
              <w:right w:w="240" w:type="dxa"/>
            </w:tcMar>
            <w:vAlign w:val="center"/>
          </w:tcPr>
          <w:p w14:paraId="2B475E8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与成品等级一致</w:t>
            </w:r>
          </w:p>
        </w:tc>
      </w:tr>
      <w:tr w14:paraId="1E36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3D9670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仓储物流</w:t>
            </w:r>
          </w:p>
        </w:tc>
        <w:tc>
          <w:tcPr>
            <w:tcW w:w="2182" w:type="dxa"/>
            <w:shd w:val="clear" w:color="auto" w:fill="FFFFFF"/>
            <w:tcMar>
              <w:top w:w="150" w:type="dxa"/>
              <w:left w:w="240" w:type="dxa"/>
              <w:bottom w:w="150" w:type="dxa"/>
              <w:right w:w="240" w:type="dxa"/>
            </w:tcMar>
            <w:vAlign w:val="center"/>
          </w:tcPr>
          <w:p w14:paraId="2D13B3E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入库时间</w:t>
            </w:r>
          </w:p>
        </w:tc>
        <w:tc>
          <w:tcPr>
            <w:tcW w:w="1391" w:type="dxa"/>
            <w:shd w:val="clear" w:color="auto" w:fill="FFFFFF"/>
            <w:tcMar>
              <w:top w:w="150" w:type="dxa"/>
              <w:left w:w="240" w:type="dxa"/>
              <w:bottom w:w="150" w:type="dxa"/>
              <w:right w:w="240" w:type="dxa"/>
            </w:tcMar>
            <w:vAlign w:val="center"/>
          </w:tcPr>
          <w:p w14:paraId="53577BF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日期时间型</w:t>
            </w:r>
          </w:p>
        </w:tc>
        <w:tc>
          <w:tcPr>
            <w:tcW w:w="2939" w:type="dxa"/>
            <w:shd w:val="clear" w:color="auto" w:fill="FFFFFF"/>
            <w:tcMar>
              <w:top w:w="150" w:type="dxa"/>
              <w:left w:w="240" w:type="dxa"/>
              <w:bottom w:w="150" w:type="dxa"/>
              <w:right w:w="240" w:type="dxa"/>
            </w:tcMar>
            <w:vAlign w:val="center"/>
          </w:tcPr>
          <w:p w14:paraId="6D30A309">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 HH:MM</w:t>
            </w:r>
          </w:p>
        </w:tc>
      </w:tr>
      <w:tr w14:paraId="72AB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4C57FB5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仓储物流</w:t>
            </w:r>
          </w:p>
        </w:tc>
        <w:tc>
          <w:tcPr>
            <w:tcW w:w="2182" w:type="dxa"/>
            <w:shd w:val="clear" w:color="auto" w:fill="FFFFFF"/>
            <w:tcMar>
              <w:top w:w="150" w:type="dxa"/>
              <w:left w:w="240" w:type="dxa"/>
              <w:bottom w:w="150" w:type="dxa"/>
              <w:right w:w="240" w:type="dxa"/>
            </w:tcMar>
            <w:vAlign w:val="center"/>
          </w:tcPr>
          <w:p w14:paraId="1049ABF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库位信息</w:t>
            </w:r>
          </w:p>
        </w:tc>
        <w:tc>
          <w:tcPr>
            <w:tcW w:w="1391" w:type="dxa"/>
            <w:shd w:val="clear" w:color="auto" w:fill="FFFFFF"/>
            <w:tcMar>
              <w:top w:w="150" w:type="dxa"/>
              <w:left w:w="240" w:type="dxa"/>
              <w:bottom w:w="150" w:type="dxa"/>
              <w:right w:w="240" w:type="dxa"/>
            </w:tcMar>
            <w:vAlign w:val="center"/>
          </w:tcPr>
          <w:p w14:paraId="1426411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75568F8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w:t>
            </w:r>
          </w:p>
        </w:tc>
      </w:tr>
      <w:tr w14:paraId="0CE3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00515CA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仓储物流</w:t>
            </w:r>
          </w:p>
        </w:tc>
        <w:tc>
          <w:tcPr>
            <w:tcW w:w="2182" w:type="dxa"/>
            <w:shd w:val="clear" w:color="auto" w:fill="FFFFFF"/>
            <w:tcMar>
              <w:top w:w="150" w:type="dxa"/>
              <w:left w:w="240" w:type="dxa"/>
              <w:bottom w:w="150" w:type="dxa"/>
              <w:right w:w="240" w:type="dxa"/>
            </w:tcMar>
            <w:vAlign w:val="center"/>
          </w:tcPr>
          <w:p w14:paraId="091F5E2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运输信息</w:t>
            </w:r>
          </w:p>
        </w:tc>
        <w:tc>
          <w:tcPr>
            <w:tcW w:w="1391" w:type="dxa"/>
            <w:shd w:val="clear" w:color="auto" w:fill="FFFFFF"/>
            <w:tcMar>
              <w:top w:w="150" w:type="dxa"/>
              <w:left w:w="240" w:type="dxa"/>
              <w:bottom w:w="150" w:type="dxa"/>
              <w:right w:w="240" w:type="dxa"/>
            </w:tcMar>
            <w:vAlign w:val="center"/>
          </w:tcPr>
          <w:p w14:paraId="2102DF8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202B383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承运方、路线、时间</w:t>
            </w:r>
          </w:p>
        </w:tc>
      </w:tr>
      <w:tr w14:paraId="1DAD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701CAFE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销售终端</w:t>
            </w:r>
          </w:p>
        </w:tc>
        <w:tc>
          <w:tcPr>
            <w:tcW w:w="2182" w:type="dxa"/>
            <w:shd w:val="clear" w:color="auto" w:fill="FFFFFF"/>
            <w:tcMar>
              <w:top w:w="150" w:type="dxa"/>
              <w:left w:w="240" w:type="dxa"/>
              <w:bottom w:w="150" w:type="dxa"/>
              <w:right w:w="240" w:type="dxa"/>
            </w:tcMar>
            <w:vAlign w:val="center"/>
          </w:tcPr>
          <w:p w14:paraId="3B6E9AD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销售时间</w:t>
            </w:r>
          </w:p>
        </w:tc>
        <w:tc>
          <w:tcPr>
            <w:tcW w:w="1391" w:type="dxa"/>
            <w:shd w:val="clear" w:color="auto" w:fill="FFFFFF"/>
            <w:tcMar>
              <w:top w:w="150" w:type="dxa"/>
              <w:left w:w="240" w:type="dxa"/>
              <w:bottom w:w="150" w:type="dxa"/>
              <w:right w:w="240" w:type="dxa"/>
            </w:tcMar>
            <w:vAlign w:val="center"/>
          </w:tcPr>
          <w:p w14:paraId="1BD61E07">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日期时间型</w:t>
            </w:r>
          </w:p>
        </w:tc>
        <w:tc>
          <w:tcPr>
            <w:tcW w:w="2939" w:type="dxa"/>
            <w:shd w:val="clear" w:color="auto" w:fill="FFFFFF"/>
            <w:tcMar>
              <w:top w:w="150" w:type="dxa"/>
              <w:left w:w="240" w:type="dxa"/>
              <w:bottom w:w="150" w:type="dxa"/>
              <w:right w:w="240" w:type="dxa"/>
            </w:tcMar>
            <w:vAlign w:val="center"/>
          </w:tcPr>
          <w:p w14:paraId="5742419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 HH:MM</w:t>
            </w:r>
          </w:p>
        </w:tc>
      </w:tr>
      <w:tr w14:paraId="24A5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7AA9E444">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销售终端</w:t>
            </w:r>
          </w:p>
        </w:tc>
        <w:tc>
          <w:tcPr>
            <w:tcW w:w="2182" w:type="dxa"/>
            <w:shd w:val="clear" w:color="auto" w:fill="FFFFFF"/>
            <w:tcMar>
              <w:top w:w="150" w:type="dxa"/>
              <w:left w:w="240" w:type="dxa"/>
              <w:bottom w:w="150" w:type="dxa"/>
              <w:right w:w="240" w:type="dxa"/>
            </w:tcMar>
            <w:vAlign w:val="center"/>
          </w:tcPr>
          <w:p w14:paraId="3C0675B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销售渠道</w:t>
            </w:r>
          </w:p>
        </w:tc>
        <w:tc>
          <w:tcPr>
            <w:tcW w:w="1391" w:type="dxa"/>
            <w:shd w:val="clear" w:color="auto" w:fill="FFFFFF"/>
            <w:tcMar>
              <w:top w:w="150" w:type="dxa"/>
              <w:left w:w="240" w:type="dxa"/>
              <w:bottom w:w="150" w:type="dxa"/>
              <w:right w:w="240" w:type="dxa"/>
            </w:tcMar>
            <w:vAlign w:val="center"/>
          </w:tcPr>
          <w:p w14:paraId="3F8DDE21">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53E19EF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非空</w:t>
            </w:r>
          </w:p>
        </w:tc>
      </w:tr>
      <w:tr w14:paraId="047E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7763" w:type="dxa"/>
            <w:gridSpan w:val="4"/>
            <w:tcBorders>
              <w:top w:val="nil"/>
              <w:left w:val="nil"/>
              <w:bottom w:val="single" w:color="auto" w:sz="4" w:space="0"/>
              <w:right w:val="nil"/>
            </w:tcBorders>
            <w:shd w:val="clear" w:color="auto" w:fill="FFFFFF"/>
            <w:tcMar>
              <w:top w:w="150" w:type="dxa"/>
              <w:left w:w="0" w:type="dxa"/>
              <w:bottom w:w="150" w:type="dxa"/>
              <w:right w:w="240" w:type="dxa"/>
            </w:tcMar>
            <w:vAlign w:val="center"/>
          </w:tcPr>
          <w:p w14:paraId="2FB5B178">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center"/>
              <w:textAlignment w:val="auto"/>
              <w:rPr>
                <w:rFonts w:hint="eastAsia" w:ascii="宋体" w:hAnsi="宋体" w:eastAsia="宋体" w:cs="宋体"/>
                <w:b w:val="0"/>
                <w:bCs w:val="0"/>
                <w:i w:val="0"/>
                <w:iCs w:val="0"/>
                <w:caps w:val="0"/>
                <w:color w:val="0F1115"/>
                <w:spacing w:val="0"/>
                <w:kern w:val="0"/>
                <w:sz w:val="18"/>
                <w:szCs w:val="18"/>
                <w:lang w:val="en-US" w:eastAsia="zh-CN" w:bidi="ar"/>
              </w:rPr>
            </w:pPr>
            <w:r>
              <w:rPr>
                <w:rFonts w:hint="eastAsia" w:ascii="黑体" w:hAnsi="黑体" w:eastAsia="黑体" w:cs="黑体"/>
                <w:lang w:val="en-US" w:eastAsia="zh-CN"/>
              </w:rPr>
              <w:t>表A.1 富硒农产品追溯信息内容示例（续）</w:t>
            </w:r>
          </w:p>
        </w:tc>
      </w:tr>
      <w:tr w14:paraId="65DC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3" w:hRule="atLeast"/>
          <w:jc w:val="center"/>
        </w:trPr>
        <w:tc>
          <w:tcPr>
            <w:tcW w:w="1251" w:type="dxa"/>
            <w:tcBorders>
              <w:top w:val="single" w:color="auto" w:sz="4" w:space="0"/>
            </w:tcBorders>
            <w:shd w:val="clear" w:color="auto" w:fill="FFFFFF"/>
            <w:tcMar>
              <w:top w:w="150" w:type="dxa"/>
              <w:left w:w="0" w:type="dxa"/>
              <w:bottom w:w="150" w:type="dxa"/>
              <w:right w:w="240" w:type="dxa"/>
            </w:tcMar>
            <w:vAlign w:val="center"/>
          </w:tcPr>
          <w:p w14:paraId="25CE10E8">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环节</w:t>
            </w:r>
          </w:p>
        </w:tc>
        <w:tc>
          <w:tcPr>
            <w:tcW w:w="2182" w:type="dxa"/>
            <w:tcBorders>
              <w:top w:val="single" w:color="auto" w:sz="4" w:space="0"/>
            </w:tcBorders>
            <w:shd w:val="clear" w:color="auto" w:fill="FFFFFF"/>
            <w:tcMar>
              <w:top w:w="150" w:type="dxa"/>
              <w:left w:w="240" w:type="dxa"/>
              <w:bottom w:w="150" w:type="dxa"/>
              <w:right w:w="240" w:type="dxa"/>
            </w:tcMar>
            <w:vAlign w:val="center"/>
          </w:tcPr>
          <w:p w14:paraId="5DF1543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数据项</w:t>
            </w:r>
          </w:p>
        </w:tc>
        <w:tc>
          <w:tcPr>
            <w:tcW w:w="1391" w:type="dxa"/>
            <w:tcBorders>
              <w:top w:val="single" w:color="auto" w:sz="4" w:space="0"/>
            </w:tcBorders>
            <w:shd w:val="clear" w:color="auto" w:fill="FFFFFF"/>
            <w:tcMar>
              <w:top w:w="150" w:type="dxa"/>
              <w:left w:w="240" w:type="dxa"/>
              <w:bottom w:w="150" w:type="dxa"/>
              <w:right w:w="240" w:type="dxa"/>
            </w:tcMar>
            <w:vAlign w:val="center"/>
          </w:tcPr>
          <w:p w14:paraId="0F57915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数据类型</w:t>
            </w:r>
          </w:p>
        </w:tc>
        <w:tc>
          <w:tcPr>
            <w:tcW w:w="2939" w:type="dxa"/>
            <w:tcBorders>
              <w:top w:val="single" w:color="auto" w:sz="4" w:space="0"/>
            </w:tcBorders>
            <w:shd w:val="clear" w:color="auto" w:fill="FFFFFF"/>
            <w:tcMar>
              <w:top w:w="150" w:type="dxa"/>
              <w:left w:w="240" w:type="dxa"/>
              <w:bottom w:w="150" w:type="dxa"/>
              <w:right w:w="240" w:type="dxa"/>
            </w:tcMar>
            <w:vAlign w:val="center"/>
          </w:tcPr>
          <w:p w14:paraId="1309A99C">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校验规则</w:t>
            </w:r>
          </w:p>
        </w:tc>
      </w:tr>
      <w:tr w14:paraId="1C51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251" w:type="dxa"/>
            <w:shd w:val="clear" w:color="auto" w:fill="FFFFFF"/>
            <w:tcMar>
              <w:top w:w="150" w:type="dxa"/>
              <w:left w:w="0" w:type="dxa"/>
              <w:bottom w:w="150" w:type="dxa"/>
              <w:right w:w="240" w:type="dxa"/>
            </w:tcMar>
            <w:vAlign w:val="center"/>
          </w:tcPr>
          <w:p w14:paraId="10AB73B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销售终端</w:t>
            </w:r>
          </w:p>
        </w:tc>
        <w:tc>
          <w:tcPr>
            <w:tcW w:w="2182" w:type="dxa"/>
            <w:shd w:val="clear" w:color="auto" w:fill="FFFFFF"/>
            <w:tcMar>
              <w:top w:w="150" w:type="dxa"/>
              <w:left w:w="240" w:type="dxa"/>
              <w:bottom w:w="150" w:type="dxa"/>
              <w:right w:w="240" w:type="dxa"/>
            </w:tcMar>
            <w:vAlign w:val="center"/>
          </w:tcPr>
          <w:p w14:paraId="7AE9C02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消费者信息</w:t>
            </w:r>
          </w:p>
        </w:tc>
        <w:tc>
          <w:tcPr>
            <w:tcW w:w="1391" w:type="dxa"/>
            <w:shd w:val="clear" w:color="auto" w:fill="FFFFFF"/>
            <w:tcMar>
              <w:top w:w="150" w:type="dxa"/>
              <w:left w:w="240" w:type="dxa"/>
              <w:bottom w:w="150" w:type="dxa"/>
              <w:right w:w="240" w:type="dxa"/>
            </w:tcMar>
            <w:vAlign w:val="center"/>
          </w:tcPr>
          <w:p w14:paraId="1EB96A5D">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字符型</w:t>
            </w:r>
          </w:p>
        </w:tc>
        <w:tc>
          <w:tcPr>
            <w:tcW w:w="2939" w:type="dxa"/>
            <w:shd w:val="clear" w:color="auto" w:fill="FFFFFF"/>
            <w:tcMar>
              <w:top w:w="150" w:type="dxa"/>
              <w:left w:w="240" w:type="dxa"/>
              <w:bottom w:w="150" w:type="dxa"/>
              <w:right w:w="240" w:type="dxa"/>
            </w:tcMar>
            <w:vAlign w:val="center"/>
          </w:tcPr>
          <w:p w14:paraId="419FA04B">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符合GB/T 35273</w:t>
            </w:r>
          </w:p>
        </w:tc>
      </w:tr>
      <w:tr w14:paraId="46B6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90" w:hRule="atLeast"/>
          <w:jc w:val="center"/>
        </w:trPr>
        <w:tc>
          <w:tcPr>
            <w:tcW w:w="1251" w:type="dxa"/>
            <w:shd w:val="clear" w:color="auto" w:fill="FFFFFF"/>
            <w:tcMar>
              <w:top w:w="150" w:type="dxa"/>
              <w:left w:w="0" w:type="dxa"/>
              <w:bottom w:w="150" w:type="dxa"/>
              <w:right w:w="240" w:type="dxa"/>
            </w:tcMar>
            <w:vAlign w:val="center"/>
          </w:tcPr>
          <w:p w14:paraId="5E2ABA62">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追溯评价</w:t>
            </w:r>
          </w:p>
        </w:tc>
        <w:tc>
          <w:tcPr>
            <w:tcW w:w="2182" w:type="dxa"/>
            <w:shd w:val="clear" w:color="auto" w:fill="FFFFFF"/>
            <w:tcMar>
              <w:top w:w="150" w:type="dxa"/>
              <w:left w:w="240" w:type="dxa"/>
              <w:bottom w:w="150" w:type="dxa"/>
              <w:right w:w="240" w:type="dxa"/>
            </w:tcMar>
            <w:vAlign w:val="center"/>
          </w:tcPr>
          <w:p w14:paraId="3D42499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评价日期</w:t>
            </w:r>
          </w:p>
        </w:tc>
        <w:tc>
          <w:tcPr>
            <w:tcW w:w="1391" w:type="dxa"/>
            <w:shd w:val="clear" w:color="auto" w:fill="FFFFFF"/>
            <w:tcMar>
              <w:top w:w="150" w:type="dxa"/>
              <w:left w:w="240" w:type="dxa"/>
              <w:bottom w:w="150" w:type="dxa"/>
              <w:right w:w="240" w:type="dxa"/>
            </w:tcMar>
            <w:vAlign w:val="center"/>
          </w:tcPr>
          <w:p w14:paraId="4FA38105">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日期型</w:t>
            </w:r>
          </w:p>
        </w:tc>
        <w:tc>
          <w:tcPr>
            <w:tcW w:w="2939" w:type="dxa"/>
            <w:shd w:val="clear" w:color="auto" w:fill="FFFFFF"/>
            <w:tcMar>
              <w:top w:w="150" w:type="dxa"/>
              <w:left w:w="240" w:type="dxa"/>
              <w:bottom w:w="150" w:type="dxa"/>
              <w:right w:w="240" w:type="dxa"/>
            </w:tcMar>
            <w:vAlign w:val="center"/>
          </w:tcPr>
          <w:p w14:paraId="28D550AE">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YYYY-MM-DD</w:t>
            </w:r>
          </w:p>
        </w:tc>
      </w:tr>
      <w:tr w14:paraId="11AE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90" w:hRule="atLeast"/>
          <w:jc w:val="center"/>
        </w:trPr>
        <w:tc>
          <w:tcPr>
            <w:tcW w:w="1251" w:type="dxa"/>
            <w:shd w:val="clear" w:color="auto" w:fill="FFFFFF"/>
            <w:tcMar>
              <w:top w:w="150" w:type="dxa"/>
              <w:left w:w="0" w:type="dxa"/>
              <w:bottom w:w="150" w:type="dxa"/>
              <w:right w:w="240" w:type="dxa"/>
            </w:tcMar>
            <w:vAlign w:val="center"/>
          </w:tcPr>
          <w:p w14:paraId="4F43E8B3">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追溯评价</w:t>
            </w:r>
          </w:p>
        </w:tc>
        <w:tc>
          <w:tcPr>
            <w:tcW w:w="2182" w:type="dxa"/>
            <w:shd w:val="clear" w:color="auto" w:fill="FFFFFF"/>
            <w:tcMar>
              <w:top w:w="150" w:type="dxa"/>
              <w:left w:w="240" w:type="dxa"/>
              <w:bottom w:w="150" w:type="dxa"/>
              <w:right w:w="240" w:type="dxa"/>
            </w:tcMar>
            <w:vAlign w:val="center"/>
          </w:tcPr>
          <w:p w14:paraId="3F752306">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评价得分</w:t>
            </w:r>
          </w:p>
        </w:tc>
        <w:tc>
          <w:tcPr>
            <w:tcW w:w="1391" w:type="dxa"/>
            <w:shd w:val="clear" w:color="auto" w:fill="FFFFFF"/>
            <w:tcMar>
              <w:top w:w="150" w:type="dxa"/>
              <w:left w:w="240" w:type="dxa"/>
              <w:bottom w:w="150" w:type="dxa"/>
              <w:right w:w="240" w:type="dxa"/>
            </w:tcMar>
            <w:vAlign w:val="center"/>
          </w:tcPr>
          <w:p w14:paraId="17C190E0">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数字型</w:t>
            </w:r>
          </w:p>
        </w:tc>
        <w:tc>
          <w:tcPr>
            <w:tcW w:w="2939" w:type="dxa"/>
            <w:shd w:val="clear" w:color="auto" w:fill="FFFFFF"/>
            <w:tcMar>
              <w:top w:w="150" w:type="dxa"/>
              <w:left w:w="240" w:type="dxa"/>
              <w:bottom w:w="150" w:type="dxa"/>
              <w:right w:w="240" w:type="dxa"/>
            </w:tcMar>
            <w:vAlign w:val="center"/>
          </w:tcPr>
          <w:p w14:paraId="426237DA">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val="0"/>
                <w:bCs w:val="0"/>
                <w:i w:val="0"/>
                <w:iCs w:val="0"/>
                <w:caps w:val="0"/>
                <w:color w:val="0F1115"/>
                <w:spacing w:val="0"/>
                <w:sz w:val="18"/>
                <w:szCs w:val="18"/>
              </w:rPr>
            </w:pPr>
            <w:r>
              <w:rPr>
                <w:rFonts w:hint="eastAsia" w:ascii="宋体" w:hAnsi="宋体" w:eastAsia="宋体" w:cs="宋体"/>
                <w:b w:val="0"/>
                <w:bCs w:val="0"/>
                <w:i w:val="0"/>
                <w:iCs w:val="0"/>
                <w:caps w:val="0"/>
                <w:color w:val="0F1115"/>
                <w:spacing w:val="0"/>
                <w:kern w:val="0"/>
                <w:sz w:val="18"/>
                <w:szCs w:val="18"/>
                <w:lang w:val="en-US" w:eastAsia="zh-CN" w:bidi="ar"/>
              </w:rPr>
              <w:t>0～100</w:t>
            </w:r>
          </w:p>
        </w:tc>
      </w:tr>
    </w:tbl>
    <w:p w14:paraId="73881F4B">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left"/>
        <w:textAlignment w:val="auto"/>
        <w:rPr>
          <w:rFonts w:hint="eastAsia" w:ascii="黑体" w:hAnsi="黑体" w:eastAsia="黑体" w:cs="黑体"/>
          <w:lang w:val="en-US" w:eastAsia="zh-CN"/>
        </w:rPr>
      </w:pPr>
    </w:p>
    <w:p w14:paraId="633DAD94">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left"/>
        <w:textAlignment w:val="auto"/>
        <w:rPr>
          <w:rFonts w:hint="eastAsia" w:ascii="黑体" w:hAnsi="黑体" w:eastAsia="黑体" w:cs="黑体"/>
          <w:lang w:val="en-US" w:eastAsia="zh-CN"/>
        </w:rPr>
      </w:pPr>
    </w:p>
    <w:p w14:paraId="1F532B68">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left"/>
        <w:textAlignment w:val="auto"/>
        <w:rPr>
          <w:rFonts w:hint="eastAsia" w:ascii="黑体" w:hAnsi="黑体" w:eastAsia="黑体" w:cs="黑体"/>
          <w:lang w:val="en-US" w:eastAsia="zh-CN"/>
        </w:rPr>
      </w:pPr>
    </w:p>
    <w:p w14:paraId="762E64AF">
      <w:pPr>
        <w:pStyle w:val="24"/>
        <w:keepNext w:val="0"/>
        <w:keepLines w:val="0"/>
        <w:pageBreakBefore w:val="0"/>
        <w:widowControl/>
        <w:kinsoku/>
        <w:wordWrap/>
        <w:overflowPunct/>
        <w:topLinePunct w:val="0"/>
        <w:autoSpaceDE w:val="0"/>
        <w:autoSpaceDN w:val="0"/>
        <w:bidi w:val="0"/>
        <w:adjustRightInd/>
        <w:snapToGrid/>
        <w:spacing w:before="157" w:beforeLines="50" w:after="157" w:afterLines="50"/>
        <w:jc w:val="center"/>
        <w:textAlignment w:val="auto"/>
        <w:rPr>
          <w:rFonts w:hint="eastAsia" w:ascii="黑体" w:hAnsi="黑体" w:eastAsia="黑体" w:cs="黑体"/>
          <w:lang w:val="en-US" w:eastAsia="zh-CN"/>
        </w:rPr>
      </w:pPr>
    </w:p>
    <w:p w14:paraId="0D620030">
      <w:pPr>
        <w:pStyle w:val="23"/>
        <w:rPr>
          <w:rFonts w:hint="eastAsia"/>
        </w:rPr>
      </w:pPr>
    </w:p>
    <w:p w14:paraId="4A67336D">
      <w:pPr>
        <w:pStyle w:val="49"/>
        <w:rPr>
          <w:color w:val="auto"/>
          <w:highlight w:val="none"/>
        </w:rPr>
      </w:pPr>
      <w:bookmarkStart w:id="33" w:name="_Toc13367"/>
      <w:bookmarkStart w:id="34" w:name="_Toc19218"/>
      <w:bookmarkStart w:id="35" w:name="_Toc24638"/>
      <w:bookmarkStart w:id="36" w:name="_Toc14871"/>
      <w:r>
        <w:rPr>
          <w:rFonts w:hint="eastAsia"/>
          <w:color w:val="auto"/>
          <w:highlight w:val="none"/>
        </w:rPr>
        <w:t xml:space="preserve">参 </w:t>
      </w:r>
      <w:r>
        <w:rPr>
          <w:color w:val="auto"/>
          <w:highlight w:val="none"/>
        </w:rPr>
        <w:t xml:space="preserve"> </w:t>
      </w:r>
      <w:r>
        <w:rPr>
          <w:rFonts w:hint="eastAsia"/>
          <w:color w:val="auto"/>
          <w:highlight w:val="none"/>
        </w:rPr>
        <w:t xml:space="preserve">考 </w:t>
      </w:r>
      <w:r>
        <w:rPr>
          <w:color w:val="auto"/>
          <w:highlight w:val="none"/>
        </w:rPr>
        <w:t xml:space="preserve"> </w:t>
      </w:r>
      <w:r>
        <w:rPr>
          <w:rFonts w:hint="eastAsia"/>
          <w:color w:val="auto"/>
          <w:highlight w:val="none"/>
        </w:rPr>
        <w:t xml:space="preserve">文 </w:t>
      </w:r>
      <w:r>
        <w:rPr>
          <w:color w:val="auto"/>
          <w:highlight w:val="none"/>
        </w:rPr>
        <w:t xml:space="preserve"> </w:t>
      </w:r>
      <w:r>
        <w:rPr>
          <w:rFonts w:hint="eastAsia"/>
          <w:color w:val="auto"/>
          <w:highlight w:val="none"/>
        </w:rPr>
        <w:t>献</w:t>
      </w:r>
      <w:bookmarkEnd w:id="33"/>
      <w:bookmarkEnd w:id="34"/>
      <w:bookmarkEnd w:id="35"/>
      <w:bookmarkEnd w:id="36"/>
    </w:p>
    <w:p w14:paraId="6E8BDDE5">
      <w:pPr>
        <w:pStyle w:val="23"/>
        <w:tabs>
          <w:tab w:val="center" w:pos="4201"/>
          <w:tab w:val="right" w:leader="dot" w:pos="9298"/>
        </w:tabs>
        <w:rPr>
          <w:rFonts w:ascii="Times New Roman"/>
          <w:color w:val="auto"/>
          <w:highlight w:val="none"/>
        </w:rPr>
      </w:pPr>
    </w:p>
    <w:p w14:paraId="26D1DB3C">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37" w:name="_Toc19806"/>
      <w:bookmarkStart w:id="38" w:name="_Toc268"/>
      <w:bookmarkStart w:id="39" w:name="_Toc9178"/>
      <w:bookmarkStart w:id="40" w:name="_Toc24091"/>
      <w:r>
        <w:rPr>
          <w:rFonts w:hint="eastAsia" w:ascii="宋体" w:hAnsi="宋体" w:eastAsia="宋体" w:cs="Times New Roman"/>
          <w:color w:val="auto"/>
          <w:highlight w:val="none"/>
          <w:lang w:val="en-US" w:eastAsia="zh-CN"/>
        </w:rPr>
        <w:t>GB/T 16828—2015 商品条码 参与方位置编码与条码表示</w:t>
      </w:r>
      <w:bookmarkEnd w:id="37"/>
      <w:bookmarkEnd w:id="38"/>
      <w:bookmarkEnd w:id="39"/>
      <w:bookmarkEnd w:id="40"/>
    </w:p>
    <w:p w14:paraId="349AFD25">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41" w:name="_Toc16786"/>
      <w:bookmarkStart w:id="42" w:name="_Toc25499"/>
      <w:bookmarkStart w:id="43" w:name="_Toc839"/>
      <w:bookmarkStart w:id="44" w:name="_Toc30888"/>
      <w:r>
        <w:rPr>
          <w:rFonts w:hint="eastAsia" w:ascii="宋体" w:hAnsi="宋体" w:eastAsia="宋体" w:cs="Times New Roman"/>
          <w:color w:val="auto"/>
          <w:highlight w:val="none"/>
          <w:lang w:val="en-US" w:eastAsia="zh-CN"/>
        </w:rPr>
        <w:t>GB/T 34062—2017 防伪溯源编码技术条件</w:t>
      </w:r>
      <w:bookmarkEnd w:id="41"/>
      <w:bookmarkEnd w:id="42"/>
      <w:bookmarkEnd w:id="43"/>
      <w:bookmarkEnd w:id="44"/>
    </w:p>
    <w:p w14:paraId="0DFE2F36">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45" w:name="_Toc5339"/>
      <w:bookmarkStart w:id="46" w:name="_Toc12298"/>
      <w:bookmarkStart w:id="47" w:name="_Toc8273"/>
      <w:bookmarkStart w:id="48" w:name="_Toc14098"/>
      <w:r>
        <w:rPr>
          <w:rFonts w:hint="eastAsia" w:ascii="宋体" w:hAnsi="宋体" w:eastAsia="宋体" w:cs="Times New Roman"/>
          <w:color w:val="auto"/>
          <w:highlight w:val="none"/>
          <w:lang w:val="en-US" w:eastAsia="zh-CN"/>
        </w:rPr>
        <w:t>GB/T 33915—2017 农产品追溯要求 通则</w:t>
      </w:r>
      <w:bookmarkEnd w:id="45"/>
      <w:bookmarkEnd w:id="46"/>
      <w:bookmarkEnd w:id="47"/>
      <w:bookmarkEnd w:id="48"/>
    </w:p>
    <w:p w14:paraId="050DCF9A">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49" w:name="_Toc10975"/>
      <w:bookmarkStart w:id="50" w:name="_Toc24565"/>
      <w:bookmarkStart w:id="51" w:name="_Toc31553"/>
      <w:bookmarkStart w:id="52" w:name="_Toc8949"/>
      <w:bookmarkStart w:id="53" w:name="_Toc6715"/>
      <w:bookmarkStart w:id="54" w:name="_Toc10010"/>
      <w:r>
        <w:rPr>
          <w:rFonts w:hint="eastAsia" w:ascii="宋体" w:hAnsi="宋体" w:eastAsia="宋体" w:cs="Times New Roman"/>
          <w:color w:val="auto"/>
          <w:highlight w:val="none"/>
          <w:lang w:val="en-US" w:eastAsia="zh-CN"/>
        </w:rPr>
        <w:t>GB/T 36061—2018 电子商务交易产品可追溯性通用规范</w:t>
      </w:r>
      <w:bookmarkEnd w:id="49"/>
      <w:bookmarkEnd w:id="50"/>
      <w:bookmarkEnd w:id="51"/>
      <w:bookmarkEnd w:id="52"/>
    </w:p>
    <w:p w14:paraId="1F11E844">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55" w:name="_Toc16605"/>
      <w:bookmarkStart w:id="56" w:name="_Toc10930"/>
      <w:bookmarkStart w:id="57" w:name="_Toc30751"/>
      <w:bookmarkStart w:id="58" w:name="_Toc31724"/>
      <w:r>
        <w:rPr>
          <w:rFonts w:hint="eastAsia" w:ascii="宋体" w:hAnsi="宋体" w:eastAsia="宋体" w:cs="Times New Roman"/>
          <w:color w:val="auto"/>
          <w:highlight w:val="none"/>
          <w:lang w:val="en-US" w:eastAsia="zh-CN"/>
        </w:rPr>
        <w:t>GB/T 44446—2024 生产过程质量控制 质量追溯系统</w:t>
      </w:r>
      <w:bookmarkEnd w:id="55"/>
      <w:bookmarkEnd w:id="56"/>
      <w:bookmarkEnd w:id="57"/>
      <w:bookmarkEnd w:id="58"/>
    </w:p>
    <w:p w14:paraId="35F9AB58">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59" w:name="_Toc23313"/>
      <w:bookmarkStart w:id="60" w:name="_Toc19889"/>
      <w:r>
        <w:rPr>
          <w:rFonts w:hint="eastAsia" w:ascii="宋体" w:hAnsi="宋体" w:eastAsia="宋体" w:cs="Times New Roman"/>
          <w:color w:val="auto"/>
          <w:highlight w:val="none"/>
          <w:lang w:val="en-US" w:eastAsia="zh-CN"/>
        </w:rPr>
        <w:t>GB/T 46453—2025 食品追溯体系评价通则</w:t>
      </w:r>
      <w:bookmarkEnd w:id="53"/>
      <w:bookmarkEnd w:id="54"/>
      <w:bookmarkEnd w:id="59"/>
      <w:bookmarkEnd w:id="60"/>
    </w:p>
    <w:p w14:paraId="484AA120">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61" w:name="_Toc6767"/>
      <w:bookmarkStart w:id="62" w:name="_Toc2020"/>
      <w:bookmarkStart w:id="63" w:name="_Toc14976"/>
      <w:bookmarkStart w:id="64" w:name="_Toc16888"/>
      <w:r>
        <w:rPr>
          <w:rFonts w:hint="eastAsia" w:ascii="宋体" w:hAnsi="宋体" w:eastAsia="宋体" w:cs="Times New Roman"/>
          <w:color w:val="auto"/>
          <w:highlight w:val="none"/>
          <w:lang w:val="en-US" w:eastAsia="zh-CN"/>
        </w:rPr>
        <w:t>T/HBSELHH 0002—2020 富硒产品追溯要求</w:t>
      </w:r>
      <w:bookmarkEnd w:id="61"/>
      <w:bookmarkEnd w:id="62"/>
      <w:bookmarkEnd w:id="63"/>
      <w:bookmarkEnd w:id="64"/>
    </w:p>
    <w:p w14:paraId="6EB26DE1">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65" w:name="_Toc8506"/>
      <w:bookmarkStart w:id="66" w:name="_Toc9565"/>
      <w:bookmarkStart w:id="67" w:name="_Toc26607"/>
      <w:bookmarkStart w:id="68" w:name="_Toc11897"/>
      <w:r>
        <w:rPr>
          <w:rFonts w:hint="eastAsia" w:ascii="宋体" w:hAnsi="宋体" w:eastAsia="宋体" w:cs="Times New Roman"/>
          <w:color w:val="auto"/>
          <w:highlight w:val="none"/>
          <w:lang w:val="en-US" w:eastAsia="zh-CN"/>
        </w:rPr>
        <w:t>T/CDNX 038—2020 勇福富硒香米质量追溯要求</w:t>
      </w:r>
      <w:bookmarkEnd w:id="65"/>
      <w:bookmarkEnd w:id="66"/>
      <w:bookmarkEnd w:id="67"/>
      <w:bookmarkEnd w:id="68"/>
    </w:p>
    <w:p w14:paraId="3A0243D8">
      <w:pPr>
        <w:pStyle w:val="50"/>
        <w:pageBreakBefore w:val="0"/>
        <w:numPr>
          <w:ilvl w:val="0"/>
          <w:numId w:val="4"/>
        </w:numPr>
        <w:shd w:val="clear" w:color="auto" w:fill="auto"/>
        <w:spacing w:before="0" w:after="0"/>
        <w:ind w:firstLineChars="200"/>
        <w:jc w:val="both"/>
        <w:rPr>
          <w:rFonts w:hint="eastAsia" w:ascii="宋体" w:hAnsi="宋体" w:eastAsia="宋体" w:cs="Times New Roman"/>
          <w:color w:val="auto"/>
          <w:highlight w:val="none"/>
          <w:lang w:val="en-US" w:eastAsia="zh-CN"/>
        </w:rPr>
      </w:pPr>
      <w:bookmarkStart w:id="69" w:name="_Toc17343"/>
      <w:bookmarkStart w:id="70" w:name="_Toc28402"/>
      <w:bookmarkStart w:id="71" w:name="_Toc23109"/>
      <w:bookmarkStart w:id="72" w:name="_Toc30939"/>
      <w:r>
        <w:rPr>
          <w:rFonts w:hint="eastAsia" w:ascii="宋体" w:hAnsi="宋体" w:eastAsia="宋体" w:cs="Times New Roman"/>
          <w:color w:val="auto"/>
          <w:highlight w:val="none"/>
          <w:lang w:val="en-US" w:eastAsia="zh-CN"/>
        </w:rPr>
        <w:t>T/GXDSL 304—2025 富硒水产品溯源信息管理规范</w:t>
      </w:r>
      <w:bookmarkEnd w:id="69"/>
      <w:bookmarkEnd w:id="70"/>
      <w:bookmarkEnd w:id="71"/>
      <w:bookmarkEnd w:id="72"/>
    </w:p>
    <w:p w14:paraId="7B2E66EB">
      <w:pPr>
        <w:pStyle w:val="23"/>
        <w:ind w:left="0" w:leftChars="0" w:firstLine="0" w:firstLineChars="0"/>
        <w:rPr>
          <w:rFonts w:hint="eastAsia"/>
        </w:rPr>
      </w:pPr>
    </w:p>
    <w:p w14:paraId="2856EF6F">
      <w:pPr>
        <w:pStyle w:val="23"/>
        <w:rPr>
          <w:rFonts w:hint="eastAsia"/>
        </w:rPr>
      </w:pPr>
    </w:p>
    <w:p w14:paraId="56E79692">
      <w:pPr>
        <w:pStyle w:val="22"/>
        <w:numPr>
          <w:ilvl w:val="0"/>
          <w:numId w:val="0"/>
        </w:numPr>
        <w:spacing w:before="560" w:beforeLines="0" w:after="156" w:afterLines="50"/>
        <w:jc w:val="center"/>
        <w:rPr>
          <w:lang w:bidi="ar"/>
        </w:rPr>
      </w:pPr>
    </w:p>
    <w:p w14:paraId="4A318933">
      <w:pPr>
        <w:pStyle w:val="22"/>
        <w:numPr>
          <w:ilvl w:val="0"/>
          <w:numId w:val="0"/>
        </w:numPr>
        <w:spacing w:before="560" w:beforeLines="0" w:after="156" w:afterLines="50"/>
        <w:jc w:val="center"/>
        <w:rPr>
          <w:lang w:bidi="ar"/>
        </w:rPr>
      </w:pPr>
    </w:p>
    <w:p w14:paraId="532AE13C">
      <w:pPr>
        <w:pStyle w:val="22"/>
        <w:numPr>
          <w:ilvl w:val="0"/>
          <w:numId w:val="0"/>
        </w:numPr>
        <w:spacing w:before="560" w:beforeLines="0" w:after="156" w:afterLines="50"/>
        <w:jc w:val="center"/>
        <w:rPr>
          <w:lang w:bidi="ar"/>
        </w:rPr>
      </w:pPr>
    </w:p>
    <w:p w14:paraId="662D8892">
      <w:pPr>
        <w:pStyle w:val="22"/>
        <w:numPr>
          <w:ilvl w:val="0"/>
          <w:numId w:val="0"/>
        </w:numPr>
        <w:spacing w:before="560" w:beforeLines="0" w:after="156" w:afterLines="50"/>
        <w:jc w:val="center"/>
        <w:rPr>
          <w:lang w:bidi="ar"/>
        </w:rPr>
      </w:pPr>
    </w:p>
    <w:p w14:paraId="66E0885A">
      <w:pPr>
        <w:pStyle w:val="22"/>
        <w:numPr>
          <w:ilvl w:val="0"/>
          <w:numId w:val="0"/>
        </w:numPr>
        <w:spacing w:before="560" w:beforeLines="0" w:after="156" w:afterLines="50"/>
        <w:jc w:val="center"/>
        <w:rPr>
          <w:lang w:bidi="ar"/>
        </w:rPr>
      </w:pPr>
    </w:p>
    <w:bookmarkEnd w:id="30"/>
    <w:p w14:paraId="3977C9F3">
      <w:pPr>
        <w:jc w:val="center"/>
      </w:pPr>
      <w:bookmarkStart w:id="73" w:name="BookMark8"/>
      <w:r>
        <w:drawing>
          <wp:inline distT="0" distB="0" distL="0" distR="0">
            <wp:extent cx="1485900" cy="317500"/>
            <wp:effectExtent l="0" t="0" r="7620" b="2540"/>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485900" cy="317500"/>
                    </a:xfrm>
                    <a:prstGeom prst="rect">
                      <a:avLst/>
                    </a:prstGeom>
                    <a:noFill/>
                    <a:ln>
                      <a:noFill/>
                    </a:ln>
                  </pic:spPr>
                </pic:pic>
              </a:graphicData>
            </a:graphic>
          </wp:inline>
        </w:drawing>
      </w:r>
      <w:bookmarkEnd w:id="73"/>
    </w:p>
    <w:p w14:paraId="6057AB15">
      <w:pPr>
        <w:jc w:val="center"/>
      </w:pPr>
    </w:p>
    <w:sectPr>
      <w:pgSz w:w="11906" w:h="16838"/>
      <w:pgMar w:top="1440" w:right="1800" w:bottom="1440" w:left="1800"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黑体-简">
    <w:altName w:val="黑体"/>
    <w:panose1 w:val="00000000000000000000"/>
    <w:charset w:val="86"/>
    <w:family w:val="auto"/>
    <w:pitch w:val="default"/>
    <w:sig w:usb0="00000000" w:usb1="00000000" w:usb2="00000000" w:usb3="00000000" w:csb0="203E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35490">
    <w:pPr>
      <w:pStyle w:val="30"/>
    </w:pPr>
    <w:r>
      <mc:AlternateContent>
        <mc:Choice Requires="wps">
          <w:drawing>
            <wp:anchor distT="0" distB="0" distL="114300" distR="114300" simplePos="0" relativeHeight="251665408" behindDoc="0" locked="0" layoutInCell="1" allowOverlap="1">
              <wp:simplePos x="0" y="0"/>
              <wp:positionH relativeFrom="margin">
                <wp:posOffset>5245735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C85C3">
                          <w:pPr>
                            <w:pStyle w:val="11"/>
                            <w:jc w:val="right"/>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13.05pt;margin-top:0pt;height:144pt;width:144pt;mso-position-horizontal-relative:margin;mso-wrap-style:none;z-index:251665408;mso-width-relative:page;mso-height-relative:page;" filled="f" stroked="f" coordsize="21600,21600" o:gfxdata="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9BrloWt&#10;3lkeoaN43q6OAQK2ukZROiV6rdBtbWX6yYjt/Oe+jXr6Gyw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C/ip+zVAAAACQEAAA8AAAAAAAAAAQAgAAAAIgAAAGRycy9kb3ducmV2LnhtbFBLAQIUABQA&#10;AAAIAIdO4kC9Dt23LAIAAFUEAAAOAAAAAAAAAAEAIAAAACQBAABkcnMvZTJvRG9jLnhtbFBLBQYA&#10;AAAABgAGAFkBAADCBQAAAAA=&#10;">
              <v:fill on="f" focussize="0,0"/>
              <v:stroke on="f" weight="0.5pt"/>
              <v:imagedata o:title=""/>
              <o:lock v:ext="edit" aspectratio="f"/>
              <v:textbox inset="0mm,0mm,0mm,0mm" style="mso-fit-shape-to-text:t;">
                <w:txbxContent>
                  <w:p w14:paraId="771C85C3">
                    <w:pPr>
                      <w:pStyle w:val="11"/>
                      <w:jc w:val="right"/>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2576"/>
    </w:sdtPr>
    <w:sdtContent>
      <w:p w14:paraId="57D53029">
        <w:pPr>
          <w:pStyle w:val="11"/>
          <w:jc w:val="left"/>
        </w:pPr>
        <w:r>
          <w:fldChar w:fldCharType="begin"/>
        </w:r>
        <w:r>
          <w:instrText xml:space="preserve">PAGE   \* MERGEFORMAT</w:instrText>
        </w:r>
        <w:r>
          <w:fldChar w:fldCharType="separate"/>
        </w:r>
        <w:r>
          <w:rPr>
            <w:lang w:val="zh-CN"/>
          </w:rPr>
          <w:t>II</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18530">
    <w:pPr>
      <w:pStyle w:val="3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C16B1B">
                          <w:pPr>
                            <w:pStyle w:val="11"/>
                            <w:rPr>
                              <w:rFonts w:eastAsia="宋体" w:cs="宋体"/>
                            </w:rPr>
                          </w:pPr>
                          <w:r>
                            <w:rPr>
                              <w:rFonts w:eastAsia="宋体" w:cs="宋体"/>
                            </w:rPr>
                            <w:fldChar w:fldCharType="begin"/>
                          </w:r>
                          <w:r>
                            <w:rPr>
                              <w:rFonts w:eastAsia="宋体" w:cs="宋体"/>
                            </w:rPr>
                            <w:instrText xml:space="preserve"> PAGE  \* MERGEFORMAT </w:instrText>
                          </w:r>
                          <w:r>
                            <w:rPr>
                              <w:rFonts w:eastAsia="宋体" w:cs="宋体"/>
                            </w:rPr>
                            <w:fldChar w:fldCharType="separate"/>
                          </w:r>
                          <w:r>
                            <w:rPr>
                              <w:rFonts w:eastAsia="宋体" w:cs="宋体"/>
                            </w:rPr>
                            <w:t>3</w:t>
                          </w:r>
                          <w:r>
                            <w:rPr>
                              <w:rFonts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7C16B1B">
                    <w:pPr>
                      <w:pStyle w:val="11"/>
                      <w:rPr>
                        <w:rFonts w:eastAsia="宋体" w:cs="宋体"/>
                      </w:rPr>
                    </w:pPr>
                    <w:r>
                      <w:rPr>
                        <w:rFonts w:eastAsia="宋体" w:cs="宋体"/>
                      </w:rPr>
                      <w:fldChar w:fldCharType="begin"/>
                    </w:r>
                    <w:r>
                      <w:rPr>
                        <w:rFonts w:eastAsia="宋体" w:cs="宋体"/>
                      </w:rPr>
                      <w:instrText xml:space="preserve"> PAGE  \* MERGEFORMAT </w:instrText>
                    </w:r>
                    <w:r>
                      <w:rPr>
                        <w:rFonts w:eastAsia="宋体" w:cs="宋体"/>
                      </w:rPr>
                      <w:fldChar w:fldCharType="separate"/>
                    </w:r>
                    <w:r>
                      <w:rPr>
                        <w:rFonts w:eastAsia="宋体" w:cs="宋体"/>
                      </w:rPr>
                      <w:t>3</w:t>
                    </w:r>
                    <w:r>
                      <w:rPr>
                        <w:rFonts w:eastAsia="宋体" w:cs="宋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84301">
    <w:pPr>
      <w:pStyle w:val="11"/>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741"/>
                          </w:sdtPr>
                          <w:sdtContent>
                            <w:p w14:paraId="588B1114">
                              <w:pPr>
                                <w:pStyle w:val="11"/>
                                <w:jc w:val="right"/>
                              </w:pPr>
                              <w:r>
                                <w:fldChar w:fldCharType="begin"/>
                              </w:r>
                              <w:r>
                                <w:instrText xml:space="preserve">PAGE   \* MERGEFORMAT</w:instrText>
                              </w:r>
                              <w:r>
                                <w:fldChar w:fldCharType="separate"/>
                              </w:r>
                              <w:r>
                                <w:rPr>
                                  <w:lang w:val="zh-CN"/>
                                </w:rPr>
                                <w:t>2</w:t>
                              </w:r>
                              <w:r>
                                <w:fldChar w:fldCharType="end"/>
                              </w:r>
                            </w:p>
                          </w:sdtContent>
                        </w:sdt>
                        <w:p w14:paraId="1EAB4AB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47466741"/>
                    </w:sdtPr>
                    <w:sdtContent>
                      <w:p w14:paraId="588B1114">
                        <w:pPr>
                          <w:pStyle w:val="11"/>
                          <w:jc w:val="right"/>
                        </w:pPr>
                        <w:r>
                          <w:fldChar w:fldCharType="begin"/>
                        </w:r>
                        <w:r>
                          <w:instrText xml:space="preserve">PAGE   \* MERGEFORMAT</w:instrText>
                        </w:r>
                        <w:r>
                          <w:fldChar w:fldCharType="separate"/>
                        </w:r>
                        <w:r>
                          <w:rPr>
                            <w:lang w:val="zh-CN"/>
                          </w:rPr>
                          <w:t>2</w:t>
                        </w:r>
                        <w:r>
                          <w:fldChar w:fldCharType="end"/>
                        </w:r>
                      </w:p>
                    </w:sdtContent>
                  </w:sdt>
                  <w:p w14:paraId="1EAB4AB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CF045">
    <w:pPr>
      <w:pStyle w:val="12"/>
      <w:spacing w:after="220"/>
      <w:jc w:val="left"/>
      <w:rPr>
        <w:rFonts w:ascii="黑体" w:hAnsi="黑体" w:eastAsia="黑体" w:cs="黑体"/>
        <w:sz w:val="21"/>
        <w:szCs w:val="21"/>
      </w:rPr>
    </w:pPr>
    <w:r>
      <w:rPr>
        <w:rFonts w:hint="eastAsia" w:ascii="黑体" w:hAnsi="黑体" w:eastAsia="黑体" w:cs="黑体"/>
        <w:sz w:val="21"/>
        <w:szCs w:val="21"/>
      </w:rPr>
      <w:t>T/CDAS XXXX—2024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FA9DC">
    <w:pPr>
      <w:pStyle w:val="29"/>
      <w:ind w:left="2665" w:leftChars="1269"/>
      <w:rPr>
        <w:rFonts w:hint="eastAsia" w:hAnsi="黑体" w:eastAsia="黑体" w:cs="黑体"/>
        <w:lang w:eastAsia="zh-CN"/>
      </w:rPr>
    </w:pPr>
    <w:r>
      <w:rPr>
        <w:rFonts w:hint="eastAsia" w:hAnsi="黑体" w:cs="黑体"/>
      </w:rPr>
      <w:t>T/</w:t>
    </w:r>
    <w:r>
      <w:rPr>
        <w:rFonts w:hint="eastAsia" w:hAnsi="黑体" w:cs="黑体"/>
        <w:lang w:val="en-US" w:eastAsia="zh-CN"/>
      </w:rPr>
      <w:t>XXXX</w:t>
    </w:r>
    <w:r>
      <w:rPr>
        <w:rFonts w:hint="eastAsia" w:hAnsi="黑体" w:cs="黑体"/>
      </w:rPr>
      <w:t xml:space="preserve"> XXXX—202</w:t>
    </w:r>
    <w:r>
      <w:rPr>
        <w:rFonts w:hint="eastAsia" w:hAnsi="黑体" w:cs="黑体"/>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353AA">
    <w:pPr>
      <w:pStyle w:val="12"/>
      <w:spacing w:after="220"/>
      <w:jc w:val="left"/>
      <w:rPr>
        <w:rFonts w:hint="eastAsia" w:ascii="黑体" w:hAnsi="黑体" w:eastAsia="黑体" w:cs="黑体"/>
        <w:sz w:val="21"/>
        <w:szCs w:val="21"/>
        <w:lang w:eastAsia="zh-CN"/>
      </w:rPr>
    </w:pPr>
    <w:r>
      <w:rPr>
        <w:rFonts w:hint="eastAsia" w:ascii="黑体" w:hAnsi="黑体" w:eastAsia="黑体" w:cs="黑体"/>
        <w:sz w:val="21"/>
        <w:szCs w:val="21"/>
      </w:rPr>
      <w:t>T/ XXXX—202</w:t>
    </w:r>
    <w:r>
      <w:rPr>
        <w:rFonts w:hint="eastAsia" w:ascii="黑体" w:hAnsi="黑体" w:eastAsia="黑体" w:cs="黑体"/>
        <w:sz w:val="21"/>
        <w:szCs w:val="21"/>
        <w:lang w:val="en-US" w:eastAsia="zh-CN"/>
      </w:rPr>
      <w:t>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C3041">
    <w:pPr>
      <w:pStyle w:val="29"/>
      <w:rPr>
        <w:rFonts w:hint="eastAsia" w:hAnsi="黑体" w:eastAsia="宋体"/>
        <w:lang w:val="en-US" w:eastAsia="zh-CN"/>
      </w:rPr>
    </w:pPr>
    <w:r>
      <w:rPr>
        <w:rFonts w:hAnsi="黑体" w:eastAsia="宋体"/>
      </w:rPr>
      <w:t>T/</w:t>
    </w:r>
    <w:r>
      <w:rPr>
        <w:rFonts w:hint="eastAsia" w:hAnsi="黑体" w:eastAsia="宋体"/>
        <w:lang w:val="en-US" w:eastAsia="zh-CN"/>
      </w:rPr>
      <w:t>XXXX</w:t>
    </w:r>
    <w:r>
      <w:rPr>
        <w:rFonts w:hAnsi="黑体" w:eastAsia="宋体"/>
      </w:rPr>
      <w:t xml:space="preserve"> XXXX—202</w:t>
    </w:r>
    <w:r>
      <w:rPr>
        <w:rFonts w:hint="eastAsia" w:hAnsi="黑体" w:eastAsia="宋体"/>
        <w:lang w:val="en-US" w:eastAsia="zh-CN"/>
      </w:rPr>
      <w:t>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F4758">
    <w:pPr>
      <w:pStyle w:val="12"/>
      <w:spacing w:after="220"/>
      <w:jc w:val="left"/>
      <w:rPr>
        <w:rFonts w:hint="eastAsia" w:ascii="黑体" w:hAnsi="黑体" w:eastAsia="黑体" w:cs="黑体"/>
        <w:sz w:val="21"/>
        <w:szCs w:val="21"/>
        <w:lang w:eastAsia="zh-CN"/>
      </w:rPr>
    </w:pPr>
    <w:r>
      <w:rPr>
        <w:rFonts w:hint="eastAsia" w:ascii="黑体" w:hAnsi="黑体" w:eastAsia="黑体" w:cs="黑体"/>
        <w:sz w:val="21"/>
        <w:szCs w:val="21"/>
      </w:rPr>
      <w:t>T/</w:t>
    </w:r>
    <w:r>
      <w:rPr>
        <w:rFonts w:hint="eastAsia" w:ascii="黑体" w:hAnsi="黑体" w:eastAsia="黑体" w:cs="黑体"/>
        <w:sz w:val="21"/>
        <w:szCs w:val="21"/>
        <w:lang w:val="en-US" w:eastAsia="zh-CN"/>
      </w:rPr>
      <w:t>XXXX</w:t>
    </w:r>
    <w:r>
      <w:rPr>
        <w:rFonts w:hint="eastAsia" w:ascii="黑体" w:hAnsi="黑体" w:eastAsia="黑体" w:cs="黑体"/>
        <w:sz w:val="21"/>
        <w:szCs w:val="21"/>
      </w:rPr>
      <w:t xml:space="preserve"> XXXX—202</w:t>
    </w:r>
    <w:r>
      <w:rPr>
        <w:rFonts w:hint="eastAsia" w:ascii="黑体" w:hAnsi="黑体" w:eastAsia="黑体" w:cs="黑体"/>
        <w:sz w:val="21"/>
        <w:szCs w:val="21"/>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EA446"/>
    <w:multiLevelType w:val="multilevel"/>
    <w:tmpl w:val="B9FEA446"/>
    <w:lvl w:ilvl="0" w:tentative="0">
      <w:start w:val="1"/>
      <w:numFmt w:val="decimal"/>
      <w:pStyle w:val="22"/>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26"/>
      <w:suff w:val="nothing"/>
      <w:lvlText w:val="%1.%2.%3　"/>
      <w:lvlJc w:val="left"/>
      <w:pPr>
        <w:ind w:left="0" w:firstLine="0"/>
      </w:pPr>
      <w:rPr>
        <w:rFonts w:hint="default" w:ascii="黑体" w:hAnsi="Times New Roman" w:eastAsia="黑体"/>
        <w:b w:val="0"/>
        <w:i w:val="0"/>
        <w:strike w:val="0"/>
        <w:dstrike w:val="0"/>
        <w:color w:val="000000" w:themeColor="text1"/>
        <w:sz w:val="21"/>
        <w14:textFill>
          <w14:solidFill>
            <w14:schemeClr w14:val="tx1"/>
          </w14:solidFill>
        </w14:textFill>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759" w:hanging="1418"/>
      </w:pPr>
      <w:rPr>
        <w:rFonts w:hint="eastAsia"/>
      </w:rPr>
    </w:lvl>
    <w:lvl w:ilvl="8" w:tentative="0">
      <w:start w:val="1"/>
      <w:numFmt w:val="decimal"/>
      <w:lvlText w:val="%1.%2.%3.%4.%5.%6.%7.%8.%9"/>
      <w:lvlJc w:val="left"/>
      <w:pPr>
        <w:tabs>
          <w:tab w:val="left" w:pos="4777"/>
        </w:tabs>
        <w:ind w:left="4467" w:hanging="1700"/>
      </w:pPr>
      <w:rPr>
        <w:rFonts w:hint="eastAsia"/>
      </w:rPr>
    </w:lvl>
  </w:abstractNum>
  <w:abstractNum w:abstractNumId="1">
    <w:nsid w:val="DA7E557F"/>
    <w:multiLevelType w:val="singleLevel"/>
    <w:tmpl w:val="DA7E557F"/>
    <w:lvl w:ilvl="0" w:tentative="0">
      <w:start w:val="1"/>
      <w:numFmt w:val="lowerLetter"/>
      <w:suff w:val="nothing"/>
      <w:lvlText w:val="%1）"/>
      <w:lvlJc w:val="left"/>
    </w:lvl>
  </w:abstractNum>
  <w:abstractNum w:abstractNumId="2">
    <w:nsid w:val="00000011"/>
    <w:multiLevelType w:val="singleLevel"/>
    <w:tmpl w:val="00000011"/>
    <w:lvl w:ilvl="0" w:tentative="0">
      <w:start w:val="1"/>
      <w:numFmt w:val="decimal"/>
      <w:suff w:val="nothing"/>
      <w:lvlText w:val="[%1] "/>
      <w:lvlJc w:val="left"/>
      <w:pPr>
        <w:tabs>
          <w:tab w:val="left" w:pos="6"/>
        </w:tabs>
        <w:ind w:left="6" w:firstLine="420"/>
      </w:pPr>
      <w:rPr>
        <w:rFonts w:hint="default" w:ascii="宋体" w:hAnsi="宋体" w:eastAsia="黑体-简" w:cs="宋体"/>
      </w:rPr>
    </w:lvl>
  </w:abstractNum>
  <w:abstractNum w:abstractNumId="3">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25"/>
      <w:suff w:val="nothing"/>
      <w:lvlText w:val="%1%2　"/>
      <w:lvlJc w:val="left"/>
      <w:pPr>
        <w:ind w:left="0" w:firstLine="0"/>
      </w:pPr>
      <w:rPr>
        <w:rFonts w:hint="eastAsia" w:ascii="黑体" w:hAnsi="Times New Roman" w:eastAsia="黑体"/>
        <w:b w:val="0"/>
        <w:i w:val="0"/>
        <w:sz w:val="21"/>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53"/>
      <w:suff w:val="nothing"/>
      <w:lvlText w:val="%1%2.%3.%4　"/>
      <w:lvlJc w:val="left"/>
      <w:pPr>
        <w:ind w:left="714"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0YzdiZGM1ZGFmZWJkODA2NWE2YjZhYzYyYzhlZjYifQ=="/>
  </w:docVars>
  <w:rsids>
    <w:rsidRoot w:val="00172A27"/>
    <w:rsid w:val="00045672"/>
    <w:rsid w:val="000643BD"/>
    <w:rsid w:val="00103789"/>
    <w:rsid w:val="00151D04"/>
    <w:rsid w:val="00172A27"/>
    <w:rsid w:val="00177C0A"/>
    <w:rsid w:val="00193DE3"/>
    <w:rsid w:val="001B7471"/>
    <w:rsid w:val="001C3ADF"/>
    <w:rsid w:val="00204C13"/>
    <w:rsid w:val="00310F5E"/>
    <w:rsid w:val="00313383"/>
    <w:rsid w:val="00344C59"/>
    <w:rsid w:val="003462DC"/>
    <w:rsid w:val="00352AAE"/>
    <w:rsid w:val="003A34C0"/>
    <w:rsid w:val="003D142D"/>
    <w:rsid w:val="003E4D93"/>
    <w:rsid w:val="003F7693"/>
    <w:rsid w:val="00401373"/>
    <w:rsid w:val="004204DE"/>
    <w:rsid w:val="00441430"/>
    <w:rsid w:val="00474BDF"/>
    <w:rsid w:val="004806D7"/>
    <w:rsid w:val="00486FE4"/>
    <w:rsid w:val="00492DFE"/>
    <w:rsid w:val="004947B3"/>
    <w:rsid w:val="004B0697"/>
    <w:rsid w:val="004B42C9"/>
    <w:rsid w:val="004B45EB"/>
    <w:rsid w:val="004D3675"/>
    <w:rsid w:val="00506806"/>
    <w:rsid w:val="00592FAB"/>
    <w:rsid w:val="00622CB8"/>
    <w:rsid w:val="00623C95"/>
    <w:rsid w:val="006452DE"/>
    <w:rsid w:val="00692550"/>
    <w:rsid w:val="006A7479"/>
    <w:rsid w:val="006F400E"/>
    <w:rsid w:val="007B616F"/>
    <w:rsid w:val="00821EB2"/>
    <w:rsid w:val="00855E2B"/>
    <w:rsid w:val="00857366"/>
    <w:rsid w:val="0088229C"/>
    <w:rsid w:val="008C0FD4"/>
    <w:rsid w:val="008C6C96"/>
    <w:rsid w:val="00951B48"/>
    <w:rsid w:val="00977A55"/>
    <w:rsid w:val="009B6231"/>
    <w:rsid w:val="009D4D3A"/>
    <w:rsid w:val="00A016CC"/>
    <w:rsid w:val="00A10301"/>
    <w:rsid w:val="00A1474B"/>
    <w:rsid w:val="00A168A1"/>
    <w:rsid w:val="00A502FA"/>
    <w:rsid w:val="00A639DD"/>
    <w:rsid w:val="00A73702"/>
    <w:rsid w:val="00A832D7"/>
    <w:rsid w:val="00B371D2"/>
    <w:rsid w:val="00B55454"/>
    <w:rsid w:val="00B76312"/>
    <w:rsid w:val="00B87E6A"/>
    <w:rsid w:val="00B87F41"/>
    <w:rsid w:val="00BA6AA5"/>
    <w:rsid w:val="00BB4B9A"/>
    <w:rsid w:val="00BE63B5"/>
    <w:rsid w:val="00C02CE6"/>
    <w:rsid w:val="00C43FFD"/>
    <w:rsid w:val="00CC62F4"/>
    <w:rsid w:val="00D11937"/>
    <w:rsid w:val="00D22457"/>
    <w:rsid w:val="00D34860"/>
    <w:rsid w:val="00D76D47"/>
    <w:rsid w:val="00D82AB6"/>
    <w:rsid w:val="00D94DDF"/>
    <w:rsid w:val="00DE20A9"/>
    <w:rsid w:val="00E20ECB"/>
    <w:rsid w:val="00E3645E"/>
    <w:rsid w:val="00EB2E40"/>
    <w:rsid w:val="00EB60E7"/>
    <w:rsid w:val="00F24386"/>
    <w:rsid w:val="00F27C5E"/>
    <w:rsid w:val="00F45273"/>
    <w:rsid w:val="00F709A5"/>
    <w:rsid w:val="00FF008D"/>
    <w:rsid w:val="013E4E0A"/>
    <w:rsid w:val="01543C57"/>
    <w:rsid w:val="01624F9B"/>
    <w:rsid w:val="01C92907"/>
    <w:rsid w:val="01F9035B"/>
    <w:rsid w:val="0204564E"/>
    <w:rsid w:val="0433107E"/>
    <w:rsid w:val="047D6283"/>
    <w:rsid w:val="047E24A0"/>
    <w:rsid w:val="04956A61"/>
    <w:rsid w:val="04A60A97"/>
    <w:rsid w:val="052D259E"/>
    <w:rsid w:val="052E1E08"/>
    <w:rsid w:val="055D7A96"/>
    <w:rsid w:val="05612A4B"/>
    <w:rsid w:val="06142894"/>
    <w:rsid w:val="064D678C"/>
    <w:rsid w:val="06665027"/>
    <w:rsid w:val="07300CC3"/>
    <w:rsid w:val="079F38FE"/>
    <w:rsid w:val="07C66F31"/>
    <w:rsid w:val="08B81EA9"/>
    <w:rsid w:val="090E58D9"/>
    <w:rsid w:val="09D94E35"/>
    <w:rsid w:val="0A14776E"/>
    <w:rsid w:val="0AE020D6"/>
    <w:rsid w:val="0B0A71A3"/>
    <w:rsid w:val="0B2768DF"/>
    <w:rsid w:val="0B6942B9"/>
    <w:rsid w:val="0BC26091"/>
    <w:rsid w:val="0CB9487B"/>
    <w:rsid w:val="0D5079C9"/>
    <w:rsid w:val="0D8F3CAC"/>
    <w:rsid w:val="0DEF2F60"/>
    <w:rsid w:val="0E121122"/>
    <w:rsid w:val="0E97385E"/>
    <w:rsid w:val="0E975183"/>
    <w:rsid w:val="0F754DE2"/>
    <w:rsid w:val="0F882D9D"/>
    <w:rsid w:val="0F8E1B88"/>
    <w:rsid w:val="10447DF4"/>
    <w:rsid w:val="105D7F0D"/>
    <w:rsid w:val="10CA6885"/>
    <w:rsid w:val="110A3957"/>
    <w:rsid w:val="11F32DBF"/>
    <w:rsid w:val="122B154C"/>
    <w:rsid w:val="12BA7692"/>
    <w:rsid w:val="12F15F21"/>
    <w:rsid w:val="132E5C15"/>
    <w:rsid w:val="135E57E2"/>
    <w:rsid w:val="13CA1363"/>
    <w:rsid w:val="13E23345"/>
    <w:rsid w:val="13E26254"/>
    <w:rsid w:val="14D27EAB"/>
    <w:rsid w:val="14FB46BE"/>
    <w:rsid w:val="151410FE"/>
    <w:rsid w:val="15195206"/>
    <w:rsid w:val="15B1116C"/>
    <w:rsid w:val="15FD678A"/>
    <w:rsid w:val="16036B2A"/>
    <w:rsid w:val="17076ABB"/>
    <w:rsid w:val="17994AF4"/>
    <w:rsid w:val="18026354"/>
    <w:rsid w:val="180D7BF0"/>
    <w:rsid w:val="1846656E"/>
    <w:rsid w:val="18590946"/>
    <w:rsid w:val="18BC5365"/>
    <w:rsid w:val="18E64EFE"/>
    <w:rsid w:val="193201B0"/>
    <w:rsid w:val="196156D8"/>
    <w:rsid w:val="19D10A6A"/>
    <w:rsid w:val="1B186AD9"/>
    <w:rsid w:val="1B5669BB"/>
    <w:rsid w:val="1C3B5CE8"/>
    <w:rsid w:val="1D5A7CBE"/>
    <w:rsid w:val="1DA61B79"/>
    <w:rsid w:val="1DD737EE"/>
    <w:rsid w:val="1DE657E0"/>
    <w:rsid w:val="1DE87B35"/>
    <w:rsid w:val="1E2F2C87"/>
    <w:rsid w:val="1EDE0998"/>
    <w:rsid w:val="20D2343D"/>
    <w:rsid w:val="20DF4EBD"/>
    <w:rsid w:val="21052421"/>
    <w:rsid w:val="215A7F7A"/>
    <w:rsid w:val="21E652AB"/>
    <w:rsid w:val="227B5090"/>
    <w:rsid w:val="22EA5D72"/>
    <w:rsid w:val="236A0620"/>
    <w:rsid w:val="23953CF8"/>
    <w:rsid w:val="24F1232B"/>
    <w:rsid w:val="24FF59F8"/>
    <w:rsid w:val="252A68FA"/>
    <w:rsid w:val="25A25740"/>
    <w:rsid w:val="25CE3729"/>
    <w:rsid w:val="25F807A6"/>
    <w:rsid w:val="265754CC"/>
    <w:rsid w:val="267A1703"/>
    <w:rsid w:val="26AF4609"/>
    <w:rsid w:val="26B5257B"/>
    <w:rsid w:val="26B67B62"/>
    <w:rsid w:val="2777047F"/>
    <w:rsid w:val="27870DD7"/>
    <w:rsid w:val="285C14C0"/>
    <w:rsid w:val="28A17B31"/>
    <w:rsid w:val="28E7336E"/>
    <w:rsid w:val="28F12CF2"/>
    <w:rsid w:val="292001E4"/>
    <w:rsid w:val="2972302A"/>
    <w:rsid w:val="298A35DC"/>
    <w:rsid w:val="29DB6513"/>
    <w:rsid w:val="2A187AC9"/>
    <w:rsid w:val="2AC61570"/>
    <w:rsid w:val="2B0D4CF3"/>
    <w:rsid w:val="2B5936C5"/>
    <w:rsid w:val="2C333EF0"/>
    <w:rsid w:val="2E25575C"/>
    <w:rsid w:val="2E6B15B3"/>
    <w:rsid w:val="2EA54A3D"/>
    <w:rsid w:val="2ECD6C74"/>
    <w:rsid w:val="2F011F39"/>
    <w:rsid w:val="2F065A35"/>
    <w:rsid w:val="2F974B8C"/>
    <w:rsid w:val="2FB67708"/>
    <w:rsid w:val="2FDF3F1E"/>
    <w:rsid w:val="2FE36A1D"/>
    <w:rsid w:val="30173295"/>
    <w:rsid w:val="302B1F38"/>
    <w:rsid w:val="30336FAA"/>
    <w:rsid w:val="30A57EBC"/>
    <w:rsid w:val="31076817"/>
    <w:rsid w:val="311F752F"/>
    <w:rsid w:val="314F479A"/>
    <w:rsid w:val="3155457D"/>
    <w:rsid w:val="31592A40"/>
    <w:rsid w:val="315E1F75"/>
    <w:rsid w:val="3192385D"/>
    <w:rsid w:val="31B63660"/>
    <w:rsid w:val="31DB065F"/>
    <w:rsid w:val="32105FE3"/>
    <w:rsid w:val="323A1106"/>
    <w:rsid w:val="328D4A4D"/>
    <w:rsid w:val="32AA7F18"/>
    <w:rsid w:val="32C57C62"/>
    <w:rsid w:val="32DF5B42"/>
    <w:rsid w:val="33E86E49"/>
    <w:rsid w:val="3437693D"/>
    <w:rsid w:val="345136A9"/>
    <w:rsid w:val="34973248"/>
    <w:rsid w:val="34F6526F"/>
    <w:rsid w:val="351D6146"/>
    <w:rsid w:val="3607616C"/>
    <w:rsid w:val="365F69E8"/>
    <w:rsid w:val="37A662B4"/>
    <w:rsid w:val="37B27480"/>
    <w:rsid w:val="38847C50"/>
    <w:rsid w:val="38A5744D"/>
    <w:rsid w:val="38B560A9"/>
    <w:rsid w:val="396D1238"/>
    <w:rsid w:val="39D215E2"/>
    <w:rsid w:val="39F5538C"/>
    <w:rsid w:val="3A70303D"/>
    <w:rsid w:val="3ADC03B0"/>
    <w:rsid w:val="3BB54D17"/>
    <w:rsid w:val="3BF04365"/>
    <w:rsid w:val="3C276D3B"/>
    <w:rsid w:val="3C4848F8"/>
    <w:rsid w:val="3C660456"/>
    <w:rsid w:val="3C661D74"/>
    <w:rsid w:val="3D332398"/>
    <w:rsid w:val="3D4342B2"/>
    <w:rsid w:val="3E3B268A"/>
    <w:rsid w:val="3EA26EB7"/>
    <w:rsid w:val="3F13236B"/>
    <w:rsid w:val="3F271F6B"/>
    <w:rsid w:val="3F6B5F18"/>
    <w:rsid w:val="3FE85993"/>
    <w:rsid w:val="401734C4"/>
    <w:rsid w:val="40190FE4"/>
    <w:rsid w:val="4027520D"/>
    <w:rsid w:val="40340415"/>
    <w:rsid w:val="40442B0E"/>
    <w:rsid w:val="40740544"/>
    <w:rsid w:val="40A8309D"/>
    <w:rsid w:val="40E1210B"/>
    <w:rsid w:val="410A78B3"/>
    <w:rsid w:val="4130789C"/>
    <w:rsid w:val="416620B9"/>
    <w:rsid w:val="41DA54D8"/>
    <w:rsid w:val="424B1D86"/>
    <w:rsid w:val="42B615A7"/>
    <w:rsid w:val="431D1F2C"/>
    <w:rsid w:val="43BC1407"/>
    <w:rsid w:val="43C401ED"/>
    <w:rsid w:val="43D74C48"/>
    <w:rsid w:val="43E24B50"/>
    <w:rsid w:val="43F860E9"/>
    <w:rsid w:val="448D4A83"/>
    <w:rsid w:val="44CD1324"/>
    <w:rsid w:val="4524776F"/>
    <w:rsid w:val="45BB5620"/>
    <w:rsid w:val="467B2000"/>
    <w:rsid w:val="468E7602"/>
    <w:rsid w:val="46FA3D78"/>
    <w:rsid w:val="477D0F8D"/>
    <w:rsid w:val="481E4792"/>
    <w:rsid w:val="485C7EF1"/>
    <w:rsid w:val="48EA3B26"/>
    <w:rsid w:val="49441489"/>
    <w:rsid w:val="4A176B9D"/>
    <w:rsid w:val="4A407EA2"/>
    <w:rsid w:val="4A941482"/>
    <w:rsid w:val="4AC05487"/>
    <w:rsid w:val="4AC8388B"/>
    <w:rsid w:val="4AEE78FE"/>
    <w:rsid w:val="4B8E2902"/>
    <w:rsid w:val="4C286E40"/>
    <w:rsid w:val="4C9C711F"/>
    <w:rsid w:val="4CB11829"/>
    <w:rsid w:val="4D192564"/>
    <w:rsid w:val="4D277CB2"/>
    <w:rsid w:val="4D394D2E"/>
    <w:rsid w:val="4D9D385D"/>
    <w:rsid w:val="4DEF230B"/>
    <w:rsid w:val="4E045D1F"/>
    <w:rsid w:val="4E4D7031"/>
    <w:rsid w:val="4E606D65"/>
    <w:rsid w:val="4E6C5625"/>
    <w:rsid w:val="4F7142E0"/>
    <w:rsid w:val="5001645E"/>
    <w:rsid w:val="50577CF3"/>
    <w:rsid w:val="50934313"/>
    <w:rsid w:val="50DB26D2"/>
    <w:rsid w:val="513B7FAC"/>
    <w:rsid w:val="527C1C93"/>
    <w:rsid w:val="530717B7"/>
    <w:rsid w:val="532D11DF"/>
    <w:rsid w:val="53664872"/>
    <w:rsid w:val="53817B6E"/>
    <w:rsid w:val="538232D9"/>
    <w:rsid w:val="538767D5"/>
    <w:rsid w:val="54964464"/>
    <w:rsid w:val="552854E4"/>
    <w:rsid w:val="55342CF9"/>
    <w:rsid w:val="55402478"/>
    <w:rsid w:val="55866AF0"/>
    <w:rsid w:val="55D9075A"/>
    <w:rsid w:val="55EA61E6"/>
    <w:rsid w:val="56127E42"/>
    <w:rsid w:val="567A0BDF"/>
    <w:rsid w:val="56813D1C"/>
    <w:rsid w:val="568775C4"/>
    <w:rsid w:val="577356F7"/>
    <w:rsid w:val="579D7240"/>
    <w:rsid w:val="57A85936"/>
    <w:rsid w:val="58045449"/>
    <w:rsid w:val="581176C9"/>
    <w:rsid w:val="585B3889"/>
    <w:rsid w:val="586502BF"/>
    <w:rsid w:val="58665A68"/>
    <w:rsid w:val="58C3686E"/>
    <w:rsid w:val="58C63FD5"/>
    <w:rsid w:val="58D4687F"/>
    <w:rsid w:val="58D77C23"/>
    <w:rsid w:val="59003220"/>
    <w:rsid w:val="59186B39"/>
    <w:rsid w:val="59352B9C"/>
    <w:rsid w:val="594F49D8"/>
    <w:rsid w:val="59647619"/>
    <w:rsid w:val="59721B5A"/>
    <w:rsid w:val="5A827D4A"/>
    <w:rsid w:val="5A8D070B"/>
    <w:rsid w:val="5A9A1491"/>
    <w:rsid w:val="5B2D7FCE"/>
    <w:rsid w:val="5B6F594E"/>
    <w:rsid w:val="5C2427AA"/>
    <w:rsid w:val="5C610E21"/>
    <w:rsid w:val="5C8207EE"/>
    <w:rsid w:val="5D3F66DF"/>
    <w:rsid w:val="5D4F3C6C"/>
    <w:rsid w:val="5DF06B05"/>
    <w:rsid w:val="5E27474F"/>
    <w:rsid w:val="5E6C6F25"/>
    <w:rsid w:val="5F1871E8"/>
    <w:rsid w:val="5F8D1984"/>
    <w:rsid w:val="5FA4466B"/>
    <w:rsid w:val="5FC0427E"/>
    <w:rsid w:val="5FC86518"/>
    <w:rsid w:val="5FDC0215"/>
    <w:rsid w:val="600D4C8B"/>
    <w:rsid w:val="60251F8A"/>
    <w:rsid w:val="60303049"/>
    <w:rsid w:val="603116C2"/>
    <w:rsid w:val="60A62677"/>
    <w:rsid w:val="61217725"/>
    <w:rsid w:val="61D2367E"/>
    <w:rsid w:val="63534C92"/>
    <w:rsid w:val="635F3637"/>
    <w:rsid w:val="63C45248"/>
    <w:rsid w:val="64410D9C"/>
    <w:rsid w:val="6453662C"/>
    <w:rsid w:val="648F1179"/>
    <w:rsid w:val="64A42668"/>
    <w:rsid w:val="64BD718B"/>
    <w:rsid w:val="656A4341"/>
    <w:rsid w:val="658672DD"/>
    <w:rsid w:val="65D61F4D"/>
    <w:rsid w:val="663F6DA8"/>
    <w:rsid w:val="665C3E5E"/>
    <w:rsid w:val="66FA60CB"/>
    <w:rsid w:val="671216A0"/>
    <w:rsid w:val="67DC4AA6"/>
    <w:rsid w:val="686055C9"/>
    <w:rsid w:val="68BC5088"/>
    <w:rsid w:val="69B73C55"/>
    <w:rsid w:val="69B906FB"/>
    <w:rsid w:val="6B105217"/>
    <w:rsid w:val="6B376C47"/>
    <w:rsid w:val="6B4454B3"/>
    <w:rsid w:val="6B634BCC"/>
    <w:rsid w:val="6B6E757A"/>
    <w:rsid w:val="6B815FF5"/>
    <w:rsid w:val="6BB40298"/>
    <w:rsid w:val="6C785772"/>
    <w:rsid w:val="6C901DC2"/>
    <w:rsid w:val="6CC369E5"/>
    <w:rsid w:val="6DDB1B0C"/>
    <w:rsid w:val="6E246A56"/>
    <w:rsid w:val="6E727F29"/>
    <w:rsid w:val="6E8C2E06"/>
    <w:rsid w:val="6E9D5013"/>
    <w:rsid w:val="6F3A0AB4"/>
    <w:rsid w:val="6F540CD9"/>
    <w:rsid w:val="6F60249C"/>
    <w:rsid w:val="6FF11ABB"/>
    <w:rsid w:val="70054354"/>
    <w:rsid w:val="703C5291"/>
    <w:rsid w:val="70CA0BEF"/>
    <w:rsid w:val="70F74C85"/>
    <w:rsid w:val="710818E6"/>
    <w:rsid w:val="716F71D3"/>
    <w:rsid w:val="725F0F5E"/>
    <w:rsid w:val="72897D89"/>
    <w:rsid w:val="72B600AC"/>
    <w:rsid w:val="72FD0776"/>
    <w:rsid w:val="73153DFE"/>
    <w:rsid w:val="738A200A"/>
    <w:rsid w:val="73FE47A6"/>
    <w:rsid w:val="74213FF1"/>
    <w:rsid w:val="74432A52"/>
    <w:rsid w:val="745C4D08"/>
    <w:rsid w:val="746629E2"/>
    <w:rsid w:val="749F7D37"/>
    <w:rsid w:val="74A72748"/>
    <w:rsid w:val="74AD53D6"/>
    <w:rsid w:val="74AD57E3"/>
    <w:rsid w:val="7521699E"/>
    <w:rsid w:val="755F74C6"/>
    <w:rsid w:val="75747288"/>
    <w:rsid w:val="77630FF8"/>
    <w:rsid w:val="777032C5"/>
    <w:rsid w:val="77D47685"/>
    <w:rsid w:val="784309DA"/>
    <w:rsid w:val="78BC253A"/>
    <w:rsid w:val="79151EC4"/>
    <w:rsid w:val="792C5CA6"/>
    <w:rsid w:val="79462249"/>
    <w:rsid w:val="79564409"/>
    <w:rsid w:val="79C14B93"/>
    <w:rsid w:val="79D516C7"/>
    <w:rsid w:val="7A0F14BB"/>
    <w:rsid w:val="7A3B5C17"/>
    <w:rsid w:val="7A671120"/>
    <w:rsid w:val="7A8D37E3"/>
    <w:rsid w:val="7B3D10BE"/>
    <w:rsid w:val="7B860768"/>
    <w:rsid w:val="7BA61C9C"/>
    <w:rsid w:val="7BB347EA"/>
    <w:rsid w:val="7C0C5586"/>
    <w:rsid w:val="7C3B69DB"/>
    <w:rsid w:val="7C73443B"/>
    <w:rsid w:val="7CD07294"/>
    <w:rsid w:val="7DA92C32"/>
    <w:rsid w:val="7DB9747F"/>
    <w:rsid w:val="7DD47072"/>
    <w:rsid w:val="7EE10F4C"/>
    <w:rsid w:val="7F581D26"/>
    <w:rsid w:val="7F89586C"/>
    <w:rsid w:val="7FAC731C"/>
    <w:rsid w:val="7FE419DF"/>
    <w:rsid w:val="7FEA5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9"/>
    <w:pPr>
      <w:spacing w:before="100" w:beforeAutospacing="1" w:after="100" w:afterAutospacing="1"/>
      <w:jc w:val="left"/>
      <w:outlineLvl w:val="0"/>
    </w:pPr>
    <w:rPr>
      <w:rFonts w:ascii="宋体" w:hAnsi="宋体" w:eastAsia="宋体" w:cs="宋体"/>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7">
    <w:name w:val="annotation text"/>
    <w:basedOn w:val="1"/>
    <w:autoRedefine/>
    <w:qFormat/>
    <w:uiPriority w:val="0"/>
    <w:pPr>
      <w:jc w:val="left"/>
    </w:pPr>
  </w:style>
  <w:style w:type="paragraph" w:styleId="8">
    <w:name w:val="Body Text"/>
    <w:basedOn w:val="1"/>
    <w:semiHidden/>
    <w:qFormat/>
    <w:uiPriority w:val="0"/>
    <w:rPr>
      <w:rFonts w:ascii="Arial" w:hAnsi="Arial" w:eastAsia="Arial" w:cs="Arial"/>
      <w:sz w:val="21"/>
      <w:szCs w:val="21"/>
      <w:lang w:val="en-US" w:eastAsia="en-US" w:bidi="ar-SA"/>
    </w:rPr>
  </w:style>
  <w:style w:type="paragraph" w:styleId="9">
    <w:name w:val="toc 3"/>
    <w:basedOn w:val="1"/>
    <w:next w:val="1"/>
    <w:qFormat/>
    <w:uiPriority w:val="39"/>
    <w:pPr>
      <w:tabs>
        <w:tab w:val="right" w:leader="dot" w:pos="9241"/>
      </w:tabs>
      <w:ind w:firstLine="102" w:firstLineChars="100"/>
      <w:jc w:val="left"/>
    </w:pPr>
    <w:rPr>
      <w:rFonts w:ascii="宋体" w:hAnsi="Times New Roman" w:eastAsia="宋体" w:cs="Times New Roman"/>
      <w:szCs w:val="21"/>
    </w:rPr>
  </w:style>
  <w:style w:type="paragraph" w:styleId="10">
    <w:name w:val="Balloon Text"/>
    <w:basedOn w:val="1"/>
    <w:link w:val="47"/>
    <w:autoRedefine/>
    <w:qFormat/>
    <w:uiPriority w:val="0"/>
    <w:rPr>
      <w:sz w:val="18"/>
      <w:szCs w:val="18"/>
    </w:rPr>
  </w:style>
  <w:style w:type="paragraph" w:styleId="11">
    <w:name w:val="footer"/>
    <w:basedOn w:val="1"/>
    <w:link w:val="48"/>
    <w:autoRedefine/>
    <w:qFormat/>
    <w:uiPriority w:val="99"/>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39"/>
    <w:pPr>
      <w:tabs>
        <w:tab w:val="right" w:leader="dot" w:pos="9241"/>
      </w:tabs>
      <w:spacing w:beforeLines="25" w:afterLines="25"/>
      <w:jc w:val="left"/>
    </w:pPr>
    <w:rPr>
      <w:rFonts w:ascii="宋体" w:eastAsia="宋体"/>
      <w:szCs w:val="21"/>
    </w:rPr>
  </w:style>
  <w:style w:type="paragraph" w:styleId="14">
    <w:name w:val="toc 2"/>
    <w:basedOn w:val="1"/>
    <w:next w:val="1"/>
    <w:autoRedefine/>
    <w:qFormat/>
    <w:uiPriority w:val="39"/>
    <w:pPr>
      <w:tabs>
        <w:tab w:val="right" w:leader="dot" w:pos="9241"/>
      </w:tabs>
    </w:pPr>
    <w:rPr>
      <w:rFonts w:ascii="宋体" w:hAnsi="Times New Roman" w:eastAsia="宋体" w:cs="Times New Roman"/>
      <w:szCs w:val="21"/>
    </w:rPr>
  </w:style>
  <w:style w:type="paragraph" w:styleId="15">
    <w:name w:val="Normal (Web)"/>
    <w:basedOn w:val="1"/>
    <w:autoRedefine/>
    <w:qFormat/>
    <w:uiPriority w:val="0"/>
    <w:pPr>
      <w:spacing w:beforeAutospacing="1" w:afterAutospacing="1"/>
      <w:jc w:val="left"/>
    </w:pPr>
    <w:rPr>
      <w:rFonts w:cs="Times New Roman"/>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Hyperlink"/>
    <w:basedOn w:val="18"/>
    <w:autoRedefine/>
    <w:unhideWhenUsed/>
    <w:qFormat/>
    <w:uiPriority w:val="99"/>
    <w:rPr>
      <w:color w:val="0563C1" w:themeColor="hyperlink"/>
      <w:u w:val="single"/>
      <w14:textFill>
        <w14:solidFill>
          <w14:schemeClr w14:val="hlink"/>
        </w14:solidFill>
      </w14:textFill>
    </w:rPr>
  </w:style>
  <w:style w:type="character" w:customStyle="1" w:styleId="21">
    <w:name w:val="标题 1 Char"/>
    <w:basedOn w:val="18"/>
    <w:link w:val="2"/>
    <w:autoRedefine/>
    <w:qFormat/>
    <w:uiPriority w:val="99"/>
    <w:rPr>
      <w:rFonts w:ascii="宋体" w:hAnsi="宋体" w:cs="宋体"/>
      <w:b/>
      <w:bCs/>
      <w:kern w:val="44"/>
      <w:sz w:val="48"/>
      <w:szCs w:val="48"/>
    </w:rPr>
  </w:style>
  <w:style w:type="paragraph" w:customStyle="1" w:styleId="22">
    <w:name w:val="章标题"/>
    <w:next w:val="23"/>
    <w:autoRedefine/>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3">
    <w:name w:val="段"/>
    <w:autoRedefine/>
    <w:qFormat/>
    <w:uiPriority w:val="0"/>
    <w:pPr>
      <w:ind w:firstLine="420" w:firstLineChars="200"/>
      <w:jc w:val="both"/>
    </w:pPr>
    <w:rPr>
      <w:rFonts w:ascii="宋体" w:hAnsiTheme="minorHAnsi" w:eastAsiaTheme="minorEastAsia" w:cstheme="minorBidi"/>
      <w:kern w:val="2"/>
      <w:sz w:val="21"/>
      <w:szCs w:val="22"/>
      <w:lang w:val="en-US" w:eastAsia="zh-CN" w:bidi="ar-SA"/>
    </w:rPr>
  </w:style>
  <w:style w:type="paragraph" w:customStyle="1" w:styleId="24">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
    <w:name w:val="标准文件_章标题"/>
    <w:next w:val="24"/>
    <w:autoRedefine/>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26">
    <w:name w:val="一级条标题"/>
    <w:next w:val="23"/>
    <w:autoRedefine/>
    <w:qFormat/>
    <w:uiPriority w:val="0"/>
    <w:pPr>
      <w:numPr>
        <w:ilvl w:val="2"/>
        <w:numId w:val="1"/>
      </w:numPr>
      <w:outlineLvl w:val="2"/>
    </w:pPr>
    <w:rPr>
      <w:rFonts w:ascii="黑体" w:hAnsi="Times New Roman" w:eastAsia="黑体" w:cs="Times New Roman"/>
      <w:sz w:val="21"/>
      <w:szCs w:val="21"/>
      <w:lang w:val="en-US" w:eastAsia="zh-CN" w:bidi="ar-SA"/>
    </w:rPr>
  </w:style>
  <w:style w:type="paragraph" w:customStyle="1" w:styleId="27">
    <w:name w:val="目次、标准名称标题"/>
    <w:basedOn w:val="1"/>
    <w:next w:val="23"/>
    <w:autoRedefine/>
    <w:qFormat/>
    <w:uiPriority w:val="0"/>
    <w:pPr>
      <w:keepNext/>
      <w:pageBreakBefore/>
      <w:widowControl/>
      <w:shd w:val="clear" w:color="FFFFFF" w:fill="FFFFFF"/>
      <w:spacing w:before="640" w:after="560" w:line="460" w:lineRule="exact"/>
      <w:jc w:val="center"/>
      <w:outlineLvl w:val="0"/>
    </w:pPr>
    <w:rPr>
      <w:rFonts w:ascii="黑体" w:hAnsi="Times New Roman" w:eastAsia="黑体" w:cs="Times New Roman"/>
      <w:kern w:val="0"/>
      <w:sz w:val="32"/>
      <w:szCs w:val="20"/>
    </w:rPr>
  </w:style>
  <w:style w:type="paragraph" w:customStyle="1" w:styleId="28">
    <w:name w:val="前言、引言标题"/>
    <w:next w:val="23"/>
    <w:autoRedefine/>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9">
    <w:name w:val="标准书眉_奇数页"/>
    <w:next w:val="1"/>
    <w:autoRedefine/>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30">
    <w:name w:val="标准书脚_奇数页"/>
    <w:autoRedefine/>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31">
    <w:name w:val="封面标准名称"/>
    <w:autoRedefine/>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2">
    <w:name w:val="封面标准英文名称"/>
    <w:basedOn w:val="31"/>
    <w:autoRedefine/>
    <w:qFormat/>
    <w:uiPriority w:val="0"/>
    <w:pPr>
      <w:framePr w:wrap="around"/>
      <w:spacing w:before="370" w:line="400" w:lineRule="exact"/>
    </w:pPr>
    <w:rPr>
      <w:rFonts w:ascii="Times New Roman"/>
      <w:sz w:val="28"/>
      <w:szCs w:val="28"/>
    </w:rPr>
  </w:style>
  <w:style w:type="paragraph" w:customStyle="1" w:styleId="33">
    <w:name w:val="封面一致性程度标识"/>
    <w:basedOn w:val="32"/>
    <w:autoRedefine/>
    <w:qFormat/>
    <w:uiPriority w:val="0"/>
    <w:pPr>
      <w:framePr w:wrap="around"/>
      <w:spacing w:before="440"/>
    </w:pPr>
    <w:rPr>
      <w:rFonts w:ascii="宋体" w:eastAsia="宋体"/>
    </w:rPr>
  </w:style>
  <w:style w:type="paragraph" w:customStyle="1" w:styleId="34">
    <w:name w:val="封面标准文稿类别"/>
    <w:basedOn w:val="33"/>
    <w:autoRedefine/>
    <w:qFormat/>
    <w:uiPriority w:val="0"/>
    <w:pPr>
      <w:framePr w:wrap="around"/>
      <w:spacing w:after="160" w:line="240" w:lineRule="auto"/>
    </w:pPr>
    <w:rPr>
      <w:sz w:val="24"/>
    </w:rPr>
  </w:style>
  <w:style w:type="paragraph" w:customStyle="1" w:styleId="35">
    <w:name w:val="封面标准文稿编辑信息"/>
    <w:basedOn w:val="34"/>
    <w:autoRedefine/>
    <w:qFormat/>
    <w:uiPriority w:val="0"/>
    <w:pPr>
      <w:framePr w:wrap="around"/>
      <w:spacing w:before="180" w:line="180" w:lineRule="exact"/>
    </w:pPr>
    <w:rPr>
      <w:sz w:val="21"/>
    </w:rPr>
  </w:style>
  <w:style w:type="paragraph" w:customStyle="1" w:styleId="36">
    <w:name w:val="其他发布日期"/>
    <w:basedOn w:val="1"/>
    <w:autoRedefine/>
    <w:qFormat/>
    <w:uiPriority w:val="0"/>
    <w:pPr>
      <w:framePr w:w="3997" w:h="471" w:hRule="exact" w:vSpace="181" w:wrap="around" w:vAnchor="page" w:hAnchor="page" w:x="1419" w:y="14097" w:anchorLock="1"/>
      <w:widowControl/>
      <w:jc w:val="left"/>
    </w:pPr>
    <w:rPr>
      <w:rFonts w:ascii="Times New Roman" w:hAnsi="Times New Roman" w:eastAsia="黑体" w:cs="Times New Roman"/>
      <w:kern w:val="0"/>
      <w:sz w:val="28"/>
      <w:szCs w:val="20"/>
    </w:rPr>
  </w:style>
  <w:style w:type="paragraph" w:customStyle="1" w:styleId="37">
    <w:name w:val="其他实施日期"/>
    <w:basedOn w:val="1"/>
    <w:autoRedefine/>
    <w:qFormat/>
    <w:uiPriority w:val="0"/>
    <w:pPr>
      <w:framePr w:w="3997" w:h="471" w:hRule="exact" w:vSpace="181" w:wrap="around" w:vAnchor="page" w:hAnchor="page" w:x="7089" w:y="14097" w:anchorLock="1"/>
      <w:widowControl/>
      <w:jc w:val="right"/>
    </w:pPr>
    <w:rPr>
      <w:rFonts w:ascii="Times New Roman" w:hAnsi="Times New Roman" w:eastAsia="黑体" w:cs="Times New Roman"/>
      <w:kern w:val="0"/>
      <w:sz w:val="28"/>
      <w:szCs w:val="20"/>
    </w:rPr>
  </w:style>
  <w:style w:type="paragraph" w:customStyle="1" w:styleId="38">
    <w:name w:val="封面标准号2"/>
    <w:autoRedefine/>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39">
    <w:name w:val="封面标准代替信息"/>
    <w:autoRedefine/>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40">
    <w:name w:val="其他标准称谓"/>
    <w:next w:val="1"/>
    <w:autoRedefine/>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41">
    <w:name w:val="其他发布部门"/>
    <w:basedOn w:val="1"/>
    <w:autoRedefine/>
    <w:qFormat/>
    <w:uiPriority w:val="0"/>
    <w:pPr>
      <w:framePr w:w="7938" w:h="1134" w:hRule="exact" w:hSpace="125" w:vSpace="181" w:wrap="around" w:vAnchor="page" w:hAnchor="page" w:x="2150" w:y="15310" w:anchorLock="1"/>
      <w:widowControl/>
      <w:spacing w:line="0" w:lineRule="atLeast"/>
      <w:jc w:val="center"/>
    </w:pPr>
    <w:rPr>
      <w:rFonts w:ascii="黑体" w:hAnsi="Times New Roman" w:eastAsia="黑体" w:cs="Times New Roman"/>
      <w:spacing w:val="20"/>
      <w:w w:val="135"/>
      <w:kern w:val="0"/>
      <w:sz w:val="28"/>
      <w:szCs w:val="20"/>
    </w:rPr>
  </w:style>
  <w:style w:type="character" w:customStyle="1" w:styleId="42">
    <w:name w:val="发布"/>
    <w:autoRedefine/>
    <w:qFormat/>
    <w:uiPriority w:val="0"/>
    <w:rPr>
      <w:rFonts w:ascii="黑体" w:eastAsia="黑体"/>
      <w:spacing w:val="85"/>
      <w:w w:val="100"/>
      <w:position w:val="3"/>
      <w:sz w:val="28"/>
      <w:szCs w:val="28"/>
    </w:rPr>
  </w:style>
  <w:style w:type="paragraph" w:customStyle="1" w:styleId="43">
    <w:name w:val="文献分类号"/>
    <w:autoRedefine/>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44">
    <w:name w:val="WPSOffice手动目录 1"/>
    <w:autoRedefine/>
    <w:qFormat/>
    <w:uiPriority w:val="0"/>
    <w:rPr>
      <w:rFonts w:ascii="Times New Roman" w:hAnsi="Times New Roman" w:eastAsia="宋体" w:cs="Times New Roman"/>
      <w:lang w:val="en-US" w:eastAsia="zh-CN" w:bidi="ar-SA"/>
    </w:rPr>
  </w:style>
  <w:style w:type="paragraph" w:customStyle="1" w:styleId="45">
    <w:name w:val="标准书眉_偶数页"/>
    <w:basedOn w:val="29"/>
    <w:next w:val="1"/>
    <w:autoRedefine/>
    <w:qFormat/>
    <w:uiPriority w:val="0"/>
    <w:pPr>
      <w:jc w:val="left"/>
    </w:pPr>
  </w:style>
  <w:style w:type="paragraph" w:customStyle="1" w:styleId="46">
    <w:name w:val="标准书脚_偶数页"/>
    <w:autoRedefine/>
    <w:qFormat/>
    <w:uiPriority w:val="0"/>
    <w:pPr>
      <w:spacing w:before="120"/>
      <w:ind w:left="221"/>
    </w:pPr>
    <w:rPr>
      <w:rFonts w:ascii="宋体" w:hAnsi="Times New Roman" w:eastAsia="宋体" w:cs="Times New Roman"/>
      <w:sz w:val="18"/>
      <w:szCs w:val="18"/>
      <w:lang w:val="en-US" w:eastAsia="zh-CN" w:bidi="ar-SA"/>
    </w:rPr>
  </w:style>
  <w:style w:type="character" w:customStyle="1" w:styleId="47">
    <w:name w:val="批注框文本 Char"/>
    <w:basedOn w:val="18"/>
    <w:link w:val="10"/>
    <w:autoRedefine/>
    <w:qFormat/>
    <w:uiPriority w:val="0"/>
    <w:rPr>
      <w:rFonts w:asciiTheme="minorHAnsi" w:hAnsiTheme="minorHAnsi" w:eastAsiaTheme="minorEastAsia" w:cstheme="minorBidi"/>
      <w:kern w:val="2"/>
      <w:sz w:val="18"/>
      <w:szCs w:val="18"/>
    </w:rPr>
  </w:style>
  <w:style w:type="character" w:customStyle="1" w:styleId="48">
    <w:name w:val="页脚 Char"/>
    <w:basedOn w:val="18"/>
    <w:link w:val="11"/>
    <w:autoRedefine/>
    <w:qFormat/>
    <w:uiPriority w:val="99"/>
    <w:rPr>
      <w:rFonts w:asciiTheme="minorHAnsi" w:hAnsiTheme="minorHAnsi" w:eastAsiaTheme="minorEastAsia" w:cstheme="minorBidi"/>
      <w:kern w:val="2"/>
      <w:sz w:val="18"/>
      <w:szCs w:val="24"/>
    </w:rPr>
  </w:style>
  <w:style w:type="paragraph" w:customStyle="1" w:styleId="49">
    <w:name w:val="参考文献、索引标题"/>
    <w:basedOn w:val="1"/>
    <w:next w:val="23"/>
    <w:qFormat/>
    <w:uiPriority w:val="0"/>
    <w:pPr>
      <w:keepNext/>
      <w:pageBreakBefore/>
      <w:widowControl/>
      <w:shd w:val="clear" w:color="FFFFFF" w:fill="FFFFFF"/>
      <w:spacing w:before="640" w:after="200"/>
      <w:jc w:val="center"/>
      <w:outlineLvl w:val="0"/>
    </w:pPr>
    <w:rPr>
      <w:rFonts w:ascii="黑体" w:hAnsi="Times New Roman" w:eastAsia="黑体"/>
      <w:kern w:val="0"/>
      <w:szCs w:val="20"/>
    </w:rPr>
  </w:style>
  <w:style w:type="paragraph" w:customStyle="1" w:styleId="50">
    <w:name w:val="参考文献"/>
    <w:basedOn w:val="1"/>
    <w:next w:val="23"/>
    <w:qFormat/>
    <w:uiPriority w:val="0"/>
    <w:pPr>
      <w:keepNext/>
      <w:pageBreakBefore/>
      <w:widowControl/>
      <w:shd w:val="clear" w:color="FFFFFF" w:fill="FFFFFF"/>
      <w:spacing w:before="640" w:after="200"/>
      <w:jc w:val="center"/>
      <w:outlineLvl w:val="0"/>
    </w:pPr>
    <w:rPr>
      <w:rFonts w:ascii="黑体" w:hAnsi="Times New Roman" w:eastAsia="黑体"/>
      <w:kern w:val="0"/>
      <w:szCs w:val="20"/>
    </w:rPr>
  </w:style>
  <w:style w:type="paragraph" w:customStyle="1" w:styleId="51">
    <w:name w:val="标准文件_一级条标题"/>
    <w:basedOn w:val="25"/>
    <w:next w:val="24"/>
    <w:qFormat/>
    <w:uiPriority w:val="0"/>
    <w:pPr>
      <w:numPr>
        <w:ilvl w:val="2"/>
        <w:numId w:val="2"/>
      </w:numPr>
      <w:spacing w:before="50" w:beforeLines="50" w:after="50" w:afterLines="50"/>
      <w:outlineLvl w:val="1"/>
    </w:pPr>
  </w:style>
  <w:style w:type="paragraph" w:customStyle="1" w:styleId="52">
    <w:name w:val="标准文件_二级无标题"/>
    <w:basedOn w:val="53"/>
    <w:qFormat/>
    <w:uiPriority w:val="0"/>
    <w:pPr>
      <w:spacing w:before="0" w:beforeLines="0" w:after="0" w:afterLines="0"/>
      <w:ind w:left="426"/>
      <w:outlineLvl w:val="9"/>
    </w:pPr>
    <w:rPr>
      <w:rFonts w:ascii="宋体" w:eastAsia="宋体"/>
    </w:rPr>
  </w:style>
  <w:style w:type="paragraph" w:customStyle="1" w:styleId="53">
    <w:name w:val="标准文件_二级条标题"/>
    <w:next w:val="24"/>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Table Text"/>
    <w:basedOn w:val="1"/>
    <w:semiHidden/>
    <w:qFormat/>
    <w:uiPriority w:val="0"/>
    <w:rPr>
      <w:rFonts w:ascii="Times New Roman" w:hAnsi="Times New Roman" w:eastAsia="Times New Roman" w:cs="Times New Roman"/>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19</Pages>
  <Words>5859</Words>
  <Characters>6358</Characters>
  <Lines>34</Lines>
  <Paragraphs>9</Paragraphs>
  <TotalTime>20</TotalTime>
  <ScaleCrop>false</ScaleCrop>
  <LinksUpToDate>false</LinksUpToDate>
  <CharactersWithSpaces>6544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2024-07-11T07:28:00Z</dcterms:created>
  <dc:creator>Administrator</dc:creator>
  <cp:lastModifiedBy>zhang</cp:lastModifiedBy>
  <cp:lastPrinted>2024-07-10T08:23:00Z</cp:lastPrinted>
  <dcterms:modified xsi:type="dcterms:W3CDTF">2026-10-10T08:14:35Z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B19022BCB87B4EAA9835C656506BC079_13</vt:lpwstr>
  </property>
  <property fmtid="{D5CDD505-2E9C-101B-9397-08002B2CF9AE}" pid="4" name="KSOTemplateDocerSaveRecord">
    <vt:lpwstr>eyJoZGlkIjoiZDc4MGE2YmM2NDI0NjUzNWU4YWQ2NDc0ZDE5YTlkNGYiLCJ1c2VySWQiOiIyNTgwNDMwNjMifQ==</vt:lpwstr>
  </property>
</Properties>
</file>