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9"/>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47E62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1D1C97CB">
            <w:pPr>
              <w:pStyle w:val="19"/>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44F0475F">
            <w:pPr>
              <w:pStyle w:val="19"/>
              <w:framePr w:wrap="notBeside" w:vAnchor="page" w:hAnchor="page" w:x="1372" w:y="568"/>
              <w:tabs>
                <w:tab w:val="clear" w:pos="4153"/>
                <w:tab w:val="clear" w:pos="8306"/>
              </w:tabs>
              <w:spacing w:line="240" w:lineRule="auto"/>
              <w:jc w:val="both"/>
              <w:rPr>
                <w:rFonts w:ascii="黑体" w:hAnsi="黑体" w:eastAsia="黑体"/>
                <w:sz w:val="21"/>
                <w:szCs w:val="21"/>
              </w:rPr>
            </w:pPr>
            <w:r>
              <w:rPr>
                <w:rFonts w:ascii="黑体" w:hAnsi="黑体" w:eastAsia="黑体"/>
                <w:sz w:val="21"/>
                <w:szCs w:val="21"/>
              </w:rPr>
              <w:fldChar w:fldCharType="begin">
                <w:ffData>
                  <w:name w:val="ICS"/>
                  <w:enabled/>
                  <w:calcOnExit w:val="0"/>
                  <w:textInput>
                    <w:default w:val="35.040"/>
                  </w:textInput>
                </w:ffData>
              </w:fldChar>
            </w:r>
            <w:r>
              <w:rPr>
                <w:rFonts w:ascii="黑体" w:hAnsi="黑体" w:eastAsia="黑体"/>
                <w:sz w:val="21"/>
                <w:szCs w:val="21"/>
              </w:rPr>
              <w:instrText xml:space="preserve"> </w:instrText>
            </w:r>
            <w:bookmarkStart w:id="0" w:name="ICS"/>
            <w:r>
              <w:rPr>
                <w:rFonts w:ascii="黑体" w:hAnsi="黑体" w:eastAsia="黑体"/>
                <w:sz w:val="21"/>
                <w:szCs w:val="21"/>
              </w:rPr>
              <w:instrText xml:space="preserve">FORMTEXT </w:instrText>
            </w:r>
            <w:r>
              <w:rPr>
                <w:rFonts w:ascii="黑体" w:hAnsi="黑体" w:eastAsia="黑体"/>
                <w:sz w:val="21"/>
                <w:szCs w:val="21"/>
              </w:rPr>
              <w:fldChar w:fldCharType="separate"/>
            </w:r>
            <w:r>
              <w:rPr>
                <w:rFonts w:ascii="黑体" w:hAnsi="黑体" w:eastAsia="黑体"/>
                <w:sz w:val="21"/>
                <w:szCs w:val="21"/>
              </w:rPr>
              <w:t>35.040</w:t>
            </w:r>
            <w:r>
              <w:rPr>
                <w:rFonts w:ascii="黑体" w:hAnsi="黑体" w:eastAsia="黑体"/>
                <w:sz w:val="21"/>
                <w:szCs w:val="21"/>
              </w:rPr>
              <w:fldChar w:fldCharType="end"/>
            </w:r>
            <w:bookmarkEnd w:id="0"/>
          </w:p>
        </w:tc>
      </w:tr>
      <w:tr w14:paraId="5F68E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74B564D0">
            <w:pPr>
              <w:pStyle w:val="19"/>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p w14:paraId="09E8CB57">
            <w:pPr>
              <w:pStyle w:val="19"/>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hint="eastAsia" w:ascii="黑体" w:hAnsi="黑体" w:eastAsia="黑体"/>
                <w:sz w:val="21"/>
                <w:szCs w:val="21"/>
              </w:rPr>
              <w:t>A</w:t>
            </w:r>
            <w:r>
              <w:rPr>
                <w:rFonts w:ascii="黑体" w:hAnsi="黑体" w:eastAsia="黑体"/>
                <w:sz w:val="21"/>
                <w:szCs w:val="21"/>
              </w:rPr>
              <w:t>24</w:t>
            </w:r>
          </w:p>
        </w:tc>
      </w:tr>
    </w:tbl>
    <w:p w14:paraId="7950EC25">
      <w:pPr>
        <w:pStyle w:val="198"/>
      </w:pPr>
      <w:r>
        <w:t>T/</w:t>
      </w:r>
      <w:r>
        <w:fldChar w:fldCharType="begin">
          <w:ffData>
            <w:name w:val="文字1"/>
            <w:enabled/>
            <w:calcOnExit w:val="0"/>
            <w:textInput>
              <w:default w:val="XXX"/>
            </w:textInput>
          </w:ffData>
        </w:fldChar>
      </w:r>
      <w:bookmarkStart w:id="1" w:name="文字1"/>
      <w:r>
        <w:instrText xml:space="preserve"> FORMTEXT </w:instrText>
      </w:r>
      <w:r>
        <w:fldChar w:fldCharType="separate"/>
      </w:r>
      <w:r>
        <w:t>XXX</w:t>
      </w:r>
      <w:r>
        <w:fldChar w:fldCharType="end"/>
      </w:r>
      <w:bookmarkEnd w:id="1"/>
      <w:r>
        <w:t xml:space="preserve"> </w:t>
      </w:r>
      <w:r>
        <w:fldChar w:fldCharType="begin">
          <w:ffData>
            <w:name w:val="NSTD_CODE_F"/>
            <w:enabled/>
            <w:calcOnExit w:val="0"/>
            <w:textInput>
              <w:default w:val="XXXX"/>
            </w:textInput>
          </w:ffData>
        </w:fldChar>
      </w:r>
      <w:bookmarkStart w:id="2" w:name="NSTD_CODE_F"/>
      <w:r>
        <w:instrText xml:space="preserve"> FORMTEXT </w:instrText>
      </w:r>
      <w:r>
        <w:fldChar w:fldCharType="separate"/>
      </w:r>
      <w:r>
        <w:t>XXXX</w:t>
      </w:r>
      <w:r>
        <w:fldChar w:fldCharType="end"/>
      </w:r>
      <w:bookmarkEnd w:id="2"/>
      <w:r>
        <w:rPr>
          <w:rFonts w:hAnsi="黑体"/>
        </w:rPr>
        <w:t>—</w:t>
      </w:r>
      <w:r>
        <w:fldChar w:fldCharType="begin">
          <w:ffData>
            <w:name w:val="NSTD_CODE_B"/>
            <w:enabled/>
            <w:calcOnExit w:val="0"/>
            <w:textInput>
              <w:default w:val="XXXX"/>
            </w:textInput>
          </w:ffData>
        </w:fldChar>
      </w:r>
      <w:bookmarkStart w:id="3" w:name="NSTD_CODE_B"/>
      <w:r>
        <w:instrText xml:space="preserve"> FORMTEXT </w:instrText>
      </w:r>
      <w:r>
        <w:fldChar w:fldCharType="separate"/>
      </w:r>
      <w:r>
        <w:t>XXXX</w:t>
      </w:r>
      <w:r>
        <w:fldChar w:fldCharType="end"/>
      </w:r>
      <w:bookmarkEnd w:id="3"/>
    </w:p>
    <w:p w14:paraId="61958DFE">
      <w:pPr>
        <w:pStyle w:val="199"/>
        <w:rPr>
          <w:rFonts w:hAnsi="黑体"/>
        </w:rPr>
      </w:pPr>
      <w:r>
        <w:rPr>
          <w:rFonts w:hAnsi="黑体"/>
        </w:rPr>
        <w:fldChar w:fldCharType="begin">
          <w:ffData>
            <w:name w:val="OSTD_CODE"/>
            <w:enabled/>
            <w:calcOnExit w:val="0"/>
            <w:textInput/>
          </w:ffData>
        </w:fldChar>
      </w:r>
      <w:bookmarkStart w:id="4"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4"/>
    </w:p>
    <w:p w14:paraId="0F4FC5FB">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48669914">
      <w:pPr>
        <w:pStyle w:val="53"/>
        <w:framePr w:w="9639" w:h="6976" w:hRule="exact" w:hSpace="0" w:vSpace="0" w:wrap="around" w:hAnchor="page" w:y="6408"/>
        <w:jc w:val="center"/>
        <w:rPr>
          <w:rFonts w:ascii="黑体" w:hAnsi="黑体" w:eastAsia="黑体"/>
          <w:b w:val="0"/>
          <w:bCs w:val="0"/>
          <w:w w:val="100"/>
        </w:rPr>
      </w:pPr>
    </w:p>
    <w:p w14:paraId="2285921A">
      <w:pPr>
        <w:pStyle w:val="200"/>
        <w:framePr w:h="6974" w:hRule="exact" w:wrap="around" w:x="1419" w:anchorLock="1"/>
      </w:pPr>
      <w:r>
        <w:fldChar w:fldCharType="begin">
          <w:ffData>
            <w:name w:val="CSTD_NAME"/>
            <w:enabled/>
            <w:calcOnExit w:val="0"/>
            <w:textInput>
              <w:default w:val="MRO工业品商品条码应用指南"/>
            </w:textInput>
          </w:ffData>
        </w:fldChar>
      </w:r>
      <w:bookmarkStart w:id="5" w:name="CSTD_NAME"/>
      <w:r>
        <w:instrText xml:space="preserve"> FORMTEXT </w:instrText>
      </w:r>
      <w:r>
        <w:fldChar w:fldCharType="separate"/>
      </w:r>
      <w:r>
        <w:t>MRO工业品商品条码应用指南</w:t>
      </w:r>
      <w:r>
        <w:fldChar w:fldCharType="end"/>
      </w:r>
      <w:bookmarkEnd w:id="5"/>
    </w:p>
    <w:p w14:paraId="72ADA813">
      <w:pPr>
        <w:framePr w:w="9639" w:h="6974" w:hRule="exact" w:wrap="around" w:vAnchor="page" w:hAnchor="page" w:x="1419" w:y="6408" w:anchorLock="1"/>
        <w:ind w:left="-1418"/>
      </w:pPr>
    </w:p>
    <w:p w14:paraId="3D0DEE09">
      <w:pPr>
        <w:pStyle w:val="128"/>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6" w:name="ESTD_NAME"/>
      <w:r>
        <w:rPr>
          <w:rFonts w:eastAsia="黑体"/>
          <w:szCs w:val="28"/>
        </w:rPr>
        <w:instrText xml:space="preserve"> FORMTEXT </w:instrText>
      </w:r>
      <w:r>
        <w:rPr>
          <w:rFonts w:eastAsia="黑体"/>
          <w:szCs w:val="28"/>
        </w:rPr>
        <w:fldChar w:fldCharType="separate"/>
      </w:r>
      <w:r>
        <w:rPr>
          <w:rFonts w:eastAsia="黑体"/>
          <w:szCs w:val="28"/>
        </w:rPr>
        <w:t>Guidelines for the application of commodity barcodes in Maintenance, Repair, and Operations (MRO) industrial products</w:t>
      </w:r>
      <w:r>
        <w:rPr>
          <w:rFonts w:eastAsia="黑体"/>
          <w:szCs w:val="28"/>
        </w:rPr>
        <w:fldChar w:fldCharType="end"/>
      </w:r>
      <w:bookmarkEnd w:id="6"/>
    </w:p>
    <w:p w14:paraId="2B1B29BF">
      <w:pPr>
        <w:framePr w:w="9639" w:h="6974" w:hRule="exact" w:wrap="around" w:vAnchor="page" w:hAnchor="page" w:x="1419" w:y="6408" w:anchorLock="1"/>
        <w:spacing w:line="760" w:lineRule="exact"/>
        <w:ind w:left="-1418"/>
      </w:pPr>
    </w:p>
    <w:p w14:paraId="5EA79330">
      <w:pPr>
        <w:pStyle w:val="128"/>
        <w:framePr w:w="9639" w:h="6974" w:hRule="exact" w:wrap="around" w:vAnchor="page" w:hAnchor="page" w:x="1419" w:y="6408" w:anchorLock="1"/>
        <w:textAlignment w:val="bottom"/>
        <w:rPr>
          <w:rFonts w:eastAsia="黑体"/>
          <w:szCs w:val="28"/>
        </w:rPr>
      </w:pPr>
    </w:p>
    <w:p w14:paraId="7E90E1D1">
      <w:pPr>
        <w:pStyle w:val="128"/>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1"/>
              <w:listEntry w:val=" "/>
              <w:listEntry w:val="草案版次选择"/>
              <w:listEntry w:val="（工作组讨论稿）"/>
              <w:listEntry w:val="（征求意见稿）"/>
              <w:listEntry w:val="（送审讨论稿）"/>
              <w:listEntry w:val="（送审稿）"/>
              <w:listEntry w:val="（报批稿）"/>
            </w:ddList>
          </w:ffData>
        </w:fldChar>
      </w:r>
      <w:bookmarkStart w:id="7" w:name="下拉1"/>
      <w:r>
        <w:rPr>
          <w:sz w:val="24"/>
          <w:szCs w:val="28"/>
        </w:rPr>
        <w:instrText xml:space="preserve"> FORMDROPDOWN </w:instrText>
      </w:r>
      <w:r>
        <w:rPr>
          <w:sz w:val="24"/>
          <w:szCs w:val="28"/>
        </w:rPr>
        <w:fldChar w:fldCharType="separate"/>
      </w:r>
      <w:r>
        <w:rPr>
          <w:sz w:val="24"/>
          <w:szCs w:val="28"/>
        </w:rPr>
        <w:fldChar w:fldCharType="end"/>
      </w:r>
      <w:bookmarkEnd w:id="7"/>
    </w:p>
    <w:p w14:paraId="242A23D2">
      <w:pPr>
        <w:pStyle w:val="128"/>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8" w:name="CMPLSH_DATE"/>
      <w:r>
        <w:rPr>
          <w:sz w:val="21"/>
          <w:szCs w:val="28"/>
        </w:rPr>
        <w:instrText xml:space="preserve"> FORMTEXT </w:instrText>
      </w:r>
      <w:r>
        <w:rPr>
          <w:sz w:val="21"/>
          <w:szCs w:val="28"/>
        </w:rPr>
        <w:fldChar w:fldCharType="separate"/>
      </w:r>
      <w:r>
        <w:rPr>
          <w:sz w:val="21"/>
          <w:szCs w:val="28"/>
        </w:rPr>
        <w:t>     </w:t>
      </w:r>
      <w:r>
        <w:rPr>
          <w:sz w:val="21"/>
          <w:szCs w:val="28"/>
        </w:rPr>
        <w:fldChar w:fldCharType="end"/>
      </w:r>
      <w:bookmarkEnd w:id="8"/>
    </w:p>
    <w:p w14:paraId="71EFA151">
      <w:pPr>
        <w:pStyle w:val="128"/>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9" w:name="下拉2"/>
      <w:r>
        <w:rPr>
          <w:b/>
          <w:sz w:val="21"/>
          <w:szCs w:val="28"/>
        </w:rPr>
        <w:instrText xml:space="preserve"> FORMDROPDOWN </w:instrText>
      </w:r>
      <w:r>
        <w:rPr>
          <w:b/>
          <w:sz w:val="21"/>
          <w:szCs w:val="28"/>
        </w:rPr>
        <w:fldChar w:fldCharType="separate"/>
      </w:r>
      <w:r>
        <w:rPr>
          <w:b/>
          <w:sz w:val="21"/>
          <w:szCs w:val="28"/>
        </w:rPr>
        <w:fldChar w:fldCharType="end"/>
      </w:r>
      <w:bookmarkEnd w:id="9"/>
    </w:p>
    <w:p w14:paraId="53BA12C6">
      <w:pPr>
        <w:pStyle w:val="196"/>
        <w:framePr w:wrap="around" w:y="14176"/>
      </w:pPr>
      <w:r>
        <w:rPr>
          <w:rFonts w:ascii="黑体"/>
        </w:rPr>
        <w:fldChar w:fldCharType="begin">
          <w:ffData>
            <w:name w:val="PLSH_DATE_Y"/>
            <w:enabled/>
            <w:calcOnExit w:val="0"/>
            <w:textInput>
              <w:default w:val="XXXX"/>
              <w:maxLength w:val="4"/>
            </w:textInput>
          </w:ffData>
        </w:fldChar>
      </w:r>
      <w:bookmarkStart w:id="10"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0"/>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1"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1"/>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2"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2"/>
      <w:r>
        <w:rPr>
          <w:rFonts w:hint="eastAsia"/>
        </w:rPr>
        <w:t>发布</w:t>
      </w:r>
    </w:p>
    <w:p w14:paraId="6AF8086F">
      <w:pPr>
        <w:pStyle w:val="197"/>
        <w:framePr w:wrap="around" w:y="14176"/>
      </w:pPr>
      <w:r>
        <w:rPr>
          <w:rFonts w:ascii="黑体"/>
        </w:rPr>
        <w:fldChar w:fldCharType="begin">
          <w:ffData>
            <w:name w:val="CROT_DATE_Y"/>
            <w:enabled/>
            <w:calcOnExit w:val="0"/>
            <w:textInput>
              <w:default w:val="XXXX"/>
              <w:maxLength w:val="4"/>
            </w:textInput>
          </w:ffData>
        </w:fldChar>
      </w:r>
      <w:bookmarkStart w:id="13"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3"/>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4"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4"/>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5"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5"/>
      <w:r>
        <w:rPr>
          <w:rFonts w:hint="eastAsia"/>
        </w:rPr>
        <w:t>实施</w:t>
      </w:r>
    </w:p>
    <w:p w14:paraId="0CECAD09">
      <w:pPr>
        <w:pStyle w:val="154"/>
        <w:framePr w:h="584" w:hRule="exact" w:hSpace="181" w:vSpace="181" w:wrap="around" w:y="14800"/>
        <w:rPr>
          <w:rFonts w:hAnsi="黑体"/>
        </w:rPr>
      </w:pPr>
      <w:r>
        <w:rPr>
          <w:rFonts w:hAnsi="黑体"/>
          <w:w w:val="100"/>
          <w:sz w:val="28"/>
        </w:rPr>
        <w:fldChar w:fldCharType="begin">
          <w:ffData>
            <w:name w:val="fm"/>
            <w:enabled/>
            <w:calcOnExit w:val="0"/>
            <w:textInput>
              <w:default w:val="中国条码技术与应用协会"/>
            </w:textInput>
          </w:ffData>
        </w:fldChar>
      </w:r>
      <w:r>
        <w:rPr>
          <w:rFonts w:hAnsi="黑体"/>
          <w:w w:val="100"/>
          <w:sz w:val="28"/>
        </w:rPr>
        <w:instrText xml:space="preserve"> </w:instrText>
      </w:r>
      <w:bookmarkStart w:id="16" w:name="fm"/>
      <w:r>
        <w:rPr>
          <w:rFonts w:hAnsi="黑体"/>
          <w:w w:val="100"/>
          <w:sz w:val="28"/>
        </w:rPr>
        <w:instrText xml:space="preserve">FORMTEXT </w:instrText>
      </w:r>
      <w:r>
        <w:rPr>
          <w:rFonts w:hAnsi="黑体"/>
          <w:w w:val="100"/>
          <w:sz w:val="28"/>
        </w:rPr>
        <w:fldChar w:fldCharType="separate"/>
      </w:r>
      <w:r>
        <w:rPr>
          <w:rFonts w:hAnsi="黑体"/>
          <w:w w:val="100"/>
          <w:sz w:val="28"/>
        </w:rPr>
        <w:t>中国条码技术与应用协会</w:t>
      </w:r>
      <w:r>
        <w:rPr>
          <w:rFonts w:hAnsi="黑体"/>
          <w:w w:val="100"/>
          <w:sz w:val="28"/>
        </w:rPr>
        <w:fldChar w:fldCharType="end"/>
      </w:r>
      <w:bookmarkEnd w:id="16"/>
      <w:r>
        <w:rPr>
          <w:rFonts w:ascii="Times New Roman"/>
          <w:w w:val="100"/>
          <w:sz w:val="28"/>
        </w:rPr>
        <w:t>  </w:t>
      </w:r>
      <w:r>
        <w:rPr>
          <w:rStyle w:val="232"/>
          <w:rFonts w:hint="eastAsia" w:hAnsi="黑体"/>
          <w:position w:val="0"/>
        </w:rPr>
        <w:t>发</w:t>
      </w:r>
      <w:r>
        <w:rPr>
          <w:rStyle w:val="232"/>
          <w:rFonts w:hint="eastAsia" w:hAnsi="黑体"/>
          <w:spacing w:val="0"/>
          <w:position w:val="0"/>
        </w:rPr>
        <w:t>布</w:t>
      </w:r>
    </w:p>
    <w:p w14:paraId="4AC21076">
      <w:pPr>
        <w:pStyle w:val="53"/>
        <w:framePr w:w="9483" w:h="1901" w:hRule="exact" w:hSpace="181" w:vSpace="181" w:wrap="around" w:hAnchor="page" w:x="1395" w:y="1851"/>
        <w:spacing w:before="120" w:after="120"/>
        <w:rPr>
          <w:rFonts w:ascii="黑体" w:hAnsi="黑体" w:eastAsia="黑体"/>
          <w:b w:val="0"/>
          <w:bCs w:val="0"/>
          <w:w w:val="100"/>
          <w:sz w:val="48"/>
          <w:szCs w:val="48"/>
        </w:rPr>
      </w:pPr>
      <w:bookmarkStart w:id="17" w:name="OLE_LINK31"/>
      <w:bookmarkStart w:id="18" w:name="_Hlk26473981"/>
      <w:r>
        <w:rPr>
          <w:rFonts w:hint="eastAsia" w:ascii="黑体" w:eastAsia="黑体"/>
          <w:b w:val="0"/>
          <w:w w:val="100"/>
          <w:sz w:val="84"/>
          <w:szCs w:val="84"/>
        </w:rPr>
        <w:t>团体</w:t>
      </w:r>
      <w:r>
        <w:rPr>
          <w:rFonts w:hint="eastAsia" w:ascii="黑体" w:hAnsi="黑体" w:eastAsia="黑体"/>
          <w:b w:val="0"/>
          <w:bCs w:val="0"/>
          <w:w w:val="100"/>
          <w:sz w:val="84"/>
          <w:szCs w:val="84"/>
        </w:rPr>
        <w:t>标准</w:t>
      </w:r>
    </w:p>
    <w:bookmarkEnd w:id="17"/>
    <w:bookmarkEnd w:id="18"/>
    <w:p w14:paraId="06929EA3">
      <w:pPr>
        <w:rPr>
          <w:rFonts w:ascii="宋体" w:hAnsi="宋体"/>
          <w:sz w:val="28"/>
          <w:szCs w:val="28"/>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567" w:right="1134" w:bottom="1134" w:left="1134" w:header="1418" w:footer="1134"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358928FF">
      <w:pPr>
        <w:pStyle w:val="94"/>
        <w:spacing w:after="360"/>
      </w:pPr>
      <w:bookmarkStart w:id="19" w:name="BookMark1"/>
      <w:bookmarkStart w:id="20" w:name="_Toc218781151"/>
      <w:bookmarkStart w:id="21" w:name="_Toc229239467"/>
      <w:bookmarkStart w:id="22" w:name="_Toc229239435"/>
      <w:bookmarkStart w:id="23" w:name="_Toc226108881"/>
      <w:bookmarkStart w:id="24" w:name="_Toc217395877"/>
      <w:bookmarkStart w:id="25" w:name="_Toc232582253"/>
      <w:r>
        <w:rPr>
          <w:rFonts w:hint="eastAsia"/>
          <w:spacing w:val="320"/>
        </w:rPr>
        <w:t>目</w:t>
      </w:r>
      <w:r>
        <w:rPr>
          <w:rFonts w:hint="eastAsia"/>
        </w:rPr>
        <w:t>次</w:t>
      </w:r>
    </w:p>
    <w:p w14:paraId="33FCDB88">
      <w:pPr>
        <w:pStyle w:val="20"/>
        <w:tabs>
          <w:tab w:val="right" w:leader="dot" w:pos="9344"/>
        </w:tabs>
        <w:rPr>
          <w:rFonts w:asciiTheme="minorHAnsi" w:hAnsiTheme="minorHAnsi" w:eastAsiaTheme="minorEastAsia" w:cstheme="minorBidi"/>
          <w:szCs w:val="22"/>
        </w:rPr>
      </w:pPr>
      <w:r>
        <w:fldChar w:fldCharType="begin"/>
      </w:r>
      <w:r>
        <w:instrText xml:space="preserve"> TOC \o "1-1" \h </w:instrText>
      </w:r>
      <w:r>
        <w:fldChar w:fldCharType="separate"/>
      </w:r>
      <w:r>
        <w:fldChar w:fldCharType="begin"/>
      </w:r>
      <w:r>
        <w:instrText xml:space="preserve"> HYPERLINK \l "_Toc235521565" </w:instrText>
      </w:r>
      <w:r>
        <w:fldChar w:fldCharType="separate"/>
      </w:r>
      <w:r>
        <w:rPr>
          <w:rStyle w:val="34"/>
          <w:rFonts w:hint="eastAsia"/>
        </w:rPr>
        <w:t>前言</w:t>
      </w:r>
      <w:r>
        <w:tab/>
      </w:r>
      <w:r>
        <w:fldChar w:fldCharType="begin"/>
      </w:r>
      <w:r>
        <w:instrText xml:space="preserve"> PAGEREF _Toc235521565 \h </w:instrText>
      </w:r>
      <w:r>
        <w:fldChar w:fldCharType="separate"/>
      </w:r>
      <w:r>
        <w:t>II</w:t>
      </w:r>
      <w:r>
        <w:fldChar w:fldCharType="end"/>
      </w:r>
      <w:r>
        <w:fldChar w:fldCharType="end"/>
      </w:r>
    </w:p>
    <w:p w14:paraId="067EBAD0">
      <w:pPr>
        <w:pStyle w:val="20"/>
        <w:tabs>
          <w:tab w:val="right" w:leader="dot" w:pos="9344"/>
        </w:tabs>
        <w:rPr>
          <w:rFonts w:asciiTheme="minorHAnsi" w:hAnsiTheme="minorHAnsi" w:eastAsiaTheme="minorEastAsia" w:cstheme="minorBidi"/>
          <w:szCs w:val="22"/>
        </w:rPr>
      </w:pPr>
      <w:r>
        <w:fldChar w:fldCharType="begin"/>
      </w:r>
      <w:r>
        <w:instrText xml:space="preserve"> HYPERLINK \l "_Toc235521566" </w:instrText>
      </w:r>
      <w:r>
        <w:fldChar w:fldCharType="separate"/>
      </w:r>
      <w:r>
        <w:rPr>
          <w:rStyle w:val="34"/>
        </w:rPr>
        <w:t xml:space="preserve">1 </w:t>
      </w:r>
      <w:r>
        <w:rPr>
          <w:rStyle w:val="34"/>
          <w:rFonts w:hint="eastAsia"/>
        </w:rPr>
        <w:t xml:space="preserve"> 范围</w:t>
      </w:r>
      <w:r>
        <w:tab/>
      </w:r>
      <w:r>
        <w:fldChar w:fldCharType="begin"/>
      </w:r>
      <w:r>
        <w:instrText xml:space="preserve"> PAGEREF _Toc235521566 \h </w:instrText>
      </w:r>
      <w:r>
        <w:fldChar w:fldCharType="separate"/>
      </w:r>
      <w:r>
        <w:t>1</w:t>
      </w:r>
      <w:r>
        <w:fldChar w:fldCharType="end"/>
      </w:r>
      <w:r>
        <w:fldChar w:fldCharType="end"/>
      </w:r>
    </w:p>
    <w:p w14:paraId="46D17F33">
      <w:pPr>
        <w:pStyle w:val="20"/>
        <w:tabs>
          <w:tab w:val="right" w:leader="dot" w:pos="9344"/>
        </w:tabs>
        <w:rPr>
          <w:rFonts w:asciiTheme="minorHAnsi" w:hAnsiTheme="minorHAnsi" w:eastAsiaTheme="minorEastAsia" w:cstheme="minorBidi"/>
          <w:szCs w:val="22"/>
        </w:rPr>
      </w:pPr>
      <w:r>
        <w:fldChar w:fldCharType="begin"/>
      </w:r>
      <w:r>
        <w:instrText xml:space="preserve"> HYPERLINK \l "_Toc235521567" </w:instrText>
      </w:r>
      <w:r>
        <w:fldChar w:fldCharType="separate"/>
      </w:r>
      <w:r>
        <w:rPr>
          <w:rStyle w:val="34"/>
        </w:rPr>
        <w:t xml:space="preserve">2 </w:t>
      </w:r>
      <w:r>
        <w:rPr>
          <w:rStyle w:val="34"/>
          <w:rFonts w:hint="eastAsia"/>
        </w:rPr>
        <w:t xml:space="preserve"> 规范性引用文件</w:t>
      </w:r>
      <w:r>
        <w:tab/>
      </w:r>
      <w:r>
        <w:fldChar w:fldCharType="begin"/>
      </w:r>
      <w:r>
        <w:instrText xml:space="preserve"> PAGEREF _Toc235521567 \h </w:instrText>
      </w:r>
      <w:r>
        <w:fldChar w:fldCharType="separate"/>
      </w:r>
      <w:r>
        <w:t>1</w:t>
      </w:r>
      <w:r>
        <w:fldChar w:fldCharType="end"/>
      </w:r>
      <w:r>
        <w:fldChar w:fldCharType="end"/>
      </w:r>
    </w:p>
    <w:p w14:paraId="6E09A5DC">
      <w:pPr>
        <w:pStyle w:val="20"/>
        <w:tabs>
          <w:tab w:val="right" w:leader="dot" w:pos="9344"/>
        </w:tabs>
        <w:rPr>
          <w:rFonts w:asciiTheme="minorHAnsi" w:hAnsiTheme="minorHAnsi" w:eastAsiaTheme="minorEastAsia" w:cstheme="minorBidi"/>
          <w:szCs w:val="22"/>
        </w:rPr>
      </w:pPr>
      <w:r>
        <w:fldChar w:fldCharType="begin"/>
      </w:r>
      <w:r>
        <w:instrText xml:space="preserve"> HYPERLINK \l "_Toc235521568" </w:instrText>
      </w:r>
      <w:r>
        <w:fldChar w:fldCharType="separate"/>
      </w:r>
      <w:r>
        <w:rPr>
          <w:rStyle w:val="34"/>
        </w:rPr>
        <w:t xml:space="preserve">3 </w:t>
      </w:r>
      <w:r>
        <w:rPr>
          <w:rStyle w:val="34"/>
          <w:rFonts w:hint="eastAsia"/>
        </w:rPr>
        <w:t xml:space="preserve"> 术语和定义</w:t>
      </w:r>
      <w:r>
        <w:tab/>
      </w:r>
      <w:r>
        <w:fldChar w:fldCharType="begin"/>
      </w:r>
      <w:r>
        <w:instrText xml:space="preserve"> PAGEREF _Toc235521568 \h </w:instrText>
      </w:r>
      <w:r>
        <w:fldChar w:fldCharType="separate"/>
      </w:r>
      <w:r>
        <w:t>1</w:t>
      </w:r>
      <w:r>
        <w:fldChar w:fldCharType="end"/>
      </w:r>
      <w:r>
        <w:fldChar w:fldCharType="end"/>
      </w:r>
    </w:p>
    <w:p w14:paraId="032CDD11">
      <w:pPr>
        <w:pStyle w:val="20"/>
        <w:tabs>
          <w:tab w:val="right" w:leader="dot" w:pos="9344"/>
        </w:tabs>
        <w:rPr>
          <w:rFonts w:asciiTheme="minorHAnsi" w:hAnsiTheme="minorHAnsi" w:eastAsiaTheme="minorEastAsia" w:cstheme="minorBidi"/>
          <w:szCs w:val="22"/>
        </w:rPr>
      </w:pPr>
      <w:r>
        <w:fldChar w:fldCharType="begin"/>
      </w:r>
      <w:r>
        <w:instrText xml:space="preserve"> HYPERLINK \l "_Toc235521569" </w:instrText>
      </w:r>
      <w:r>
        <w:fldChar w:fldCharType="separate"/>
      </w:r>
      <w:r>
        <w:rPr>
          <w:rStyle w:val="34"/>
        </w:rPr>
        <w:t xml:space="preserve">4 </w:t>
      </w:r>
      <w:r>
        <w:rPr>
          <w:rStyle w:val="34"/>
          <w:rFonts w:hint="eastAsia"/>
        </w:rPr>
        <w:t xml:space="preserve"> 缩略语</w:t>
      </w:r>
      <w:r>
        <w:tab/>
      </w:r>
      <w:r>
        <w:fldChar w:fldCharType="begin"/>
      </w:r>
      <w:r>
        <w:instrText xml:space="preserve"> PAGEREF _Toc235521569 \h </w:instrText>
      </w:r>
      <w:r>
        <w:fldChar w:fldCharType="separate"/>
      </w:r>
      <w:r>
        <w:t>1</w:t>
      </w:r>
      <w:r>
        <w:fldChar w:fldCharType="end"/>
      </w:r>
      <w:r>
        <w:fldChar w:fldCharType="end"/>
      </w:r>
    </w:p>
    <w:p w14:paraId="6B297744">
      <w:pPr>
        <w:pStyle w:val="20"/>
        <w:tabs>
          <w:tab w:val="right" w:leader="dot" w:pos="9344"/>
        </w:tabs>
        <w:rPr>
          <w:rFonts w:asciiTheme="minorHAnsi" w:hAnsiTheme="minorHAnsi" w:eastAsiaTheme="minorEastAsia" w:cstheme="minorBidi"/>
          <w:szCs w:val="22"/>
        </w:rPr>
      </w:pPr>
      <w:r>
        <w:fldChar w:fldCharType="begin"/>
      </w:r>
      <w:r>
        <w:instrText xml:space="preserve"> HYPERLINK \l "_Toc235521570" </w:instrText>
      </w:r>
      <w:r>
        <w:fldChar w:fldCharType="separate"/>
      </w:r>
      <w:r>
        <w:rPr>
          <w:rStyle w:val="34"/>
        </w:rPr>
        <w:t xml:space="preserve">5 </w:t>
      </w:r>
      <w:r>
        <w:rPr>
          <w:rStyle w:val="34"/>
          <w:rFonts w:hint="eastAsia"/>
        </w:rPr>
        <w:t xml:space="preserve"> 总则</w:t>
      </w:r>
      <w:r>
        <w:tab/>
      </w:r>
      <w:r>
        <w:fldChar w:fldCharType="begin"/>
      </w:r>
      <w:r>
        <w:instrText xml:space="preserve"> PAGEREF _Toc235521570 \h </w:instrText>
      </w:r>
      <w:r>
        <w:fldChar w:fldCharType="separate"/>
      </w:r>
      <w:r>
        <w:t>1</w:t>
      </w:r>
      <w:r>
        <w:fldChar w:fldCharType="end"/>
      </w:r>
      <w:r>
        <w:fldChar w:fldCharType="end"/>
      </w:r>
    </w:p>
    <w:p w14:paraId="30D15E59">
      <w:pPr>
        <w:pStyle w:val="20"/>
        <w:tabs>
          <w:tab w:val="right" w:leader="dot" w:pos="9344"/>
        </w:tabs>
        <w:rPr>
          <w:rFonts w:asciiTheme="minorHAnsi" w:hAnsiTheme="minorHAnsi" w:eastAsiaTheme="minorEastAsia" w:cstheme="minorBidi"/>
          <w:szCs w:val="22"/>
        </w:rPr>
      </w:pPr>
      <w:r>
        <w:fldChar w:fldCharType="begin"/>
      </w:r>
      <w:r>
        <w:instrText xml:space="preserve"> HYPERLINK \l "_Toc235521571" </w:instrText>
      </w:r>
      <w:r>
        <w:fldChar w:fldCharType="separate"/>
      </w:r>
      <w:r>
        <w:rPr>
          <w:rStyle w:val="34"/>
        </w:rPr>
        <w:t xml:space="preserve">6 </w:t>
      </w:r>
      <w:r>
        <w:rPr>
          <w:rStyle w:val="34"/>
          <w:rFonts w:hint="eastAsia"/>
        </w:rPr>
        <w:t xml:space="preserve"> 注册</w:t>
      </w:r>
      <w:r>
        <w:tab/>
      </w:r>
      <w:r>
        <w:fldChar w:fldCharType="begin"/>
      </w:r>
      <w:r>
        <w:instrText xml:space="preserve"> PAGEREF _Toc235521571 \h </w:instrText>
      </w:r>
      <w:r>
        <w:fldChar w:fldCharType="separate"/>
      </w:r>
      <w:r>
        <w:t>2</w:t>
      </w:r>
      <w:r>
        <w:fldChar w:fldCharType="end"/>
      </w:r>
      <w:r>
        <w:fldChar w:fldCharType="end"/>
      </w:r>
    </w:p>
    <w:p w14:paraId="6B1D4370">
      <w:pPr>
        <w:pStyle w:val="20"/>
        <w:tabs>
          <w:tab w:val="right" w:leader="dot" w:pos="9344"/>
        </w:tabs>
        <w:rPr>
          <w:rFonts w:asciiTheme="minorHAnsi" w:hAnsiTheme="minorHAnsi" w:eastAsiaTheme="minorEastAsia" w:cstheme="minorBidi"/>
          <w:szCs w:val="22"/>
        </w:rPr>
      </w:pPr>
      <w:r>
        <w:fldChar w:fldCharType="begin"/>
      </w:r>
      <w:r>
        <w:instrText xml:space="preserve"> HYPERLINK \l "_Toc235521572" </w:instrText>
      </w:r>
      <w:r>
        <w:fldChar w:fldCharType="separate"/>
      </w:r>
      <w:r>
        <w:rPr>
          <w:rStyle w:val="34"/>
        </w:rPr>
        <w:t xml:space="preserve">7 </w:t>
      </w:r>
      <w:r>
        <w:rPr>
          <w:rStyle w:val="34"/>
          <w:rFonts w:hint="eastAsia"/>
        </w:rPr>
        <w:t xml:space="preserve"> 编码</w:t>
      </w:r>
      <w:r>
        <w:tab/>
      </w:r>
      <w:r>
        <w:fldChar w:fldCharType="begin"/>
      </w:r>
      <w:r>
        <w:instrText xml:space="preserve"> PAGEREF _Toc235521572 \h </w:instrText>
      </w:r>
      <w:r>
        <w:fldChar w:fldCharType="separate"/>
      </w:r>
      <w:r>
        <w:t>2</w:t>
      </w:r>
      <w:r>
        <w:fldChar w:fldCharType="end"/>
      </w:r>
      <w:r>
        <w:fldChar w:fldCharType="end"/>
      </w:r>
    </w:p>
    <w:p w14:paraId="5CB107FC">
      <w:pPr>
        <w:pStyle w:val="20"/>
        <w:tabs>
          <w:tab w:val="right" w:leader="dot" w:pos="9344"/>
        </w:tabs>
        <w:rPr>
          <w:rFonts w:asciiTheme="minorHAnsi" w:hAnsiTheme="minorHAnsi" w:eastAsiaTheme="minorEastAsia" w:cstheme="minorBidi"/>
          <w:szCs w:val="22"/>
        </w:rPr>
      </w:pPr>
      <w:r>
        <w:fldChar w:fldCharType="begin"/>
      </w:r>
      <w:r>
        <w:instrText xml:space="preserve"> HYPERLINK \l "_Toc235521573" </w:instrText>
      </w:r>
      <w:r>
        <w:fldChar w:fldCharType="separate"/>
      </w:r>
      <w:r>
        <w:rPr>
          <w:rStyle w:val="34"/>
        </w:rPr>
        <w:t xml:space="preserve">8 </w:t>
      </w:r>
      <w:r>
        <w:rPr>
          <w:rStyle w:val="34"/>
          <w:rFonts w:hint="eastAsia"/>
        </w:rPr>
        <w:t xml:space="preserve"> 条码表示</w:t>
      </w:r>
      <w:r>
        <w:tab/>
      </w:r>
      <w:r>
        <w:fldChar w:fldCharType="begin"/>
      </w:r>
      <w:r>
        <w:instrText xml:space="preserve"> PAGEREF _Toc235521573 \h </w:instrText>
      </w:r>
      <w:r>
        <w:fldChar w:fldCharType="separate"/>
      </w:r>
      <w:r>
        <w:t>4</w:t>
      </w:r>
      <w:r>
        <w:fldChar w:fldCharType="end"/>
      </w:r>
      <w:r>
        <w:fldChar w:fldCharType="end"/>
      </w:r>
    </w:p>
    <w:p w14:paraId="0E8C48C2">
      <w:pPr>
        <w:pStyle w:val="20"/>
        <w:tabs>
          <w:tab w:val="right" w:leader="dot" w:pos="9344"/>
        </w:tabs>
        <w:rPr>
          <w:rFonts w:asciiTheme="minorHAnsi" w:hAnsiTheme="minorHAnsi" w:eastAsiaTheme="minorEastAsia" w:cstheme="minorBidi"/>
          <w:szCs w:val="22"/>
        </w:rPr>
      </w:pPr>
      <w:r>
        <w:fldChar w:fldCharType="begin"/>
      </w:r>
      <w:r>
        <w:instrText xml:space="preserve"> HYPERLINK \l "_Toc235521574" </w:instrText>
      </w:r>
      <w:r>
        <w:fldChar w:fldCharType="separate"/>
      </w:r>
      <w:r>
        <w:rPr>
          <w:rStyle w:val="34"/>
        </w:rPr>
        <w:t xml:space="preserve">9 </w:t>
      </w:r>
      <w:r>
        <w:rPr>
          <w:rStyle w:val="34"/>
          <w:rFonts w:hint="eastAsia"/>
        </w:rPr>
        <w:t xml:space="preserve"> 条码符号质量控制</w:t>
      </w:r>
      <w:r>
        <w:tab/>
      </w:r>
      <w:r>
        <w:fldChar w:fldCharType="begin"/>
      </w:r>
      <w:r>
        <w:instrText xml:space="preserve"> PAGEREF _Toc235521574 \h </w:instrText>
      </w:r>
      <w:r>
        <w:fldChar w:fldCharType="separate"/>
      </w:r>
      <w:r>
        <w:t>4</w:t>
      </w:r>
      <w:r>
        <w:fldChar w:fldCharType="end"/>
      </w:r>
      <w:r>
        <w:fldChar w:fldCharType="end"/>
      </w:r>
    </w:p>
    <w:p w14:paraId="36CFF7C5">
      <w:pPr>
        <w:pStyle w:val="20"/>
        <w:tabs>
          <w:tab w:val="right" w:leader="dot" w:pos="9344"/>
        </w:tabs>
        <w:rPr>
          <w:rFonts w:asciiTheme="minorHAnsi" w:hAnsiTheme="minorHAnsi" w:eastAsiaTheme="minorEastAsia" w:cstheme="minorBidi"/>
          <w:szCs w:val="22"/>
        </w:rPr>
      </w:pPr>
      <w:r>
        <w:fldChar w:fldCharType="begin"/>
      </w:r>
      <w:r>
        <w:instrText xml:space="preserve"> HYPERLINK \l "_Toc235521575" </w:instrText>
      </w:r>
      <w:r>
        <w:fldChar w:fldCharType="separate"/>
      </w:r>
      <w:r>
        <w:rPr>
          <w:rStyle w:val="34"/>
        </w:rPr>
        <w:t xml:space="preserve">10 </w:t>
      </w:r>
      <w:r>
        <w:rPr>
          <w:rStyle w:val="34"/>
          <w:rFonts w:hint="eastAsia"/>
        </w:rPr>
        <w:t xml:space="preserve"> 应用场景</w:t>
      </w:r>
      <w:r>
        <w:tab/>
      </w:r>
      <w:r>
        <w:fldChar w:fldCharType="begin"/>
      </w:r>
      <w:r>
        <w:instrText xml:space="preserve"> PAGEREF _Toc235521575 \h </w:instrText>
      </w:r>
      <w:r>
        <w:fldChar w:fldCharType="separate"/>
      </w:r>
      <w:r>
        <w:t>5</w:t>
      </w:r>
      <w:r>
        <w:fldChar w:fldCharType="end"/>
      </w:r>
      <w:r>
        <w:fldChar w:fldCharType="end"/>
      </w:r>
    </w:p>
    <w:p w14:paraId="63610A5E">
      <w:pPr>
        <w:pStyle w:val="20"/>
        <w:tabs>
          <w:tab w:val="right" w:leader="dot" w:pos="9344"/>
        </w:tabs>
        <w:rPr>
          <w:rFonts w:asciiTheme="minorHAnsi" w:hAnsiTheme="minorHAnsi" w:eastAsiaTheme="minorEastAsia" w:cstheme="minorBidi"/>
          <w:szCs w:val="22"/>
        </w:rPr>
      </w:pPr>
      <w:r>
        <w:fldChar w:fldCharType="begin"/>
      </w:r>
      <w:r>
        <w:instrText xml:space="preserve"> HYPERLINK \l "_Toc235521576" </w:instrText>
      </w:r>
      <w:r>
        <w:fldChar w:fldCharType="separate"/>
      </w:r>
      <w:r>
        <w:rPr>
          <w:rStyle w:val="34"/>
          <w:rFonts w:hint="eastAsia"/>
        </w:rPr>
        <w:t>附录A（资料性）</w:t>
      </w:r>
      <w:r>
        <w:rPr>
          <w:rStyle w:val="34"/>
        </w:rPr>
        <w:t xml:space="preserve"> </w:t>
      </w:r>
      <w:r>
        <w:rPr>
          <w:rStyle w:val="34"/>
          <w:rFonts w:hint="eastAsia"/>
        </w:rPr>
        <w:t xml:space="preserve"> 条码表示示例</w:t>
      </w:r>
      <w:r>
        <w:tab/>
      </w:r>
      <w:r>
        <w:fldChar w:fldCharType="begin"/>
      </w:r>
      <w:r>
        <w:instrText xml:space="preserve"> PAGEREF _Toc235521576 \h </w:instrText>
      </w:r>
      <w:r>
        <w:fldChar w:fldCharType="separate"/>
      </w:r>
      <w:r>
        <w:t>6</w:t>
      </w:r>
      <w:r>
        <w:fldChar w:fldCharType="end"/>
      </w:r>
      <w:r>
        <w:fldChar w:fldCharType="end"/>
      </w:r>
    </w:p>
    <w:p w14:paraId="1CD7B522">
      <w:pPr>
        <w:pStyle w:val="20"/>
        <w:tabs>
          <w:tab w:val="right" w:leader="dot" w:pos="9344"/>
        </w:tabs>
        <w:rPr>
          <w:rFonts w:asciiTheme="minorHAnsi" w:hAnsiTheme="minorHAnsi" w:eastAsiaTheme="minorEastAsia" w:cstheme="minorBidi"/>
          <w:szCs w:val="22"/>
        </w:rPr>
      </w:pPr>
      <w:r>
        <w:fldChar w:fldCharType="begin"/>
      </w:r>
      <w:r>
        <w:instrText xml:space="preserve"> HYPERLINK \l "_Toc235521577" </w:instrText>
      </w:r>
      <w:r>
        <w:fldChar w:fldCharType="separate"/>
      </w:r>
      <w:r>
        <w:rPr>
          <w:rStyle w:val="34"/>
          <w:rFonts w:hint="eastAsia"/>
        </w:rPr>
        <w:t>附录B（资料性）</w:t>
      </w:r>
      <w:r>
        <w:rPr>
          <w:rStyle w:val="34"/>
        </w:rPr>
        <w:t xml:space="preserve"> </w:t>
      </w:r>
      <w:r>
        <w:rPr>
          <w:rStyle w:val="34"/>
          <w:rFonts w:hint="eastAsia"/>
        </w:rPr>
        <w:t xml:space="preserve"> 产品下单场景应用示例</w:t>
      </w:r>
      <w:r>
        <w:tab/>
      </w:r>
      <w:r>
        <w:fldChar w:fldCharType="begin"/>
      </w:r>
      <w:r>
        <w:instrText xml:space="preserve"> PAGEREF _Toc235521577 \h </w:instrText>
      </w:r>
      <w:r>
        <w:fldChar w:fldCharType="separate"/>
      </w:r>
      <w:r>
        <w:t>9</w:t>
      </w:r>
      <w:r>
        <w:fldChar w:fldCharType="end"/>
      </w:r>
      <w:r>
        <w:fldChar w:fldCharType="end"/>
      </w:r>
    </w:p>
    <w:p w14:paraId="1A4C8BEE">
      <w:pPr>
        <w:pStyle w:val="20"/>
        <w:tabs>
          <w:tab w:val="right" w:leader="dot" w:pos="9344"/>
        </w:tabs>
        <w:rPr>
          <w:rFonts w:asciiTheme="minorHAnsi" w:hAnsiTheme="minorHAnsi" w:eastAsiaTheme="minorEastAsia" w:cstheme="minorBidi"/>
          <w:szCs w:val="22"/>
        </w:rPr>
      </w:pPr>
      <w:r>
        <w:fldChar w:fldCharType="begin"/>
      </w:r>
      <w:r>
        <w:instrText xml:space="preserve"> HYPERLINK \l "_Toc235521578" </w:instrText>
      </w:r>
      <w:r>
        <w:fldChar w:fldCharType="separate"/>
      </w:r>
      <w:r>
        <w:rPr>
          <w:rStyle w:val="34"/>
          <w:rFonts w:hint="eastAsia"/>
        </w:rPr>
        <w:t>附录C（资料性）</w:t>
      </w:r>
      <w:r>
        <w:rPr>
          <w:rStyle w:val="34"/>
        </w:rPr>
        <w:t xml:space="preserve"> </w:t>
      </w:r>
      <w:r>
        <w:rPr>
          <w:rStyle w:val="34"/>
          <w:rFonts w:hint="eastAsia"/>
        </w:rPr>
        <w:t xml:space="preserve"> 仓储物流场景应用示例</w:t>
      </w:r>
      <w:r>
        <w:tab/>
      </w:r>
      <w:r>
        <w:fldChar w:fldCharType="begin"/>
      </w:r>
      <w:r>
        <w:instrText xml:space="preserve"> PAGEREF _Toc235521578 \h </w:instrText>
      </w:r>
      <w:r>
        <w:fldChar w:fldCharType="separate"/>
      </w:r>
      <w:r>
        <w:t>10</w:t>
      </w:r>
      <w:r>
        <w:fldChar w:fldCharType="end"/>
      </w:r>
      <w:r>
        <w:fldChar w:fldCharType="end"/>
      </w:r>
    </w:p>
    <w:p w14:paraId="05A0F43E">
      <w:pPr>
        <w:pStyle w:val="20"/>
        <w:tabs>
          <w:tab w:val="right" w:leader="dot" w:pos="9344"/>
        </w:tabs>
        <w:rPr>
          <w:rFonts w:asciiTheme="minorHAnsi" w:hAnsiTheme="minorHAnsi" w:eastAsiaTheme="minorEastAsia" w:cstheme="minorBidi"/>
          <w:szCs w:val="22"/>
        </w:rPr>
      </w:pPr>
      <w:r>
        <w:fldChar w:fldCharType="begin"/>
      </w:r>
      <w:r>
        <w:instrText xml:space="preserve"> HYPERLINK \l "_Toc235521579" </w:instrText>
      </w:r>
      <w:r>
        <w:fldChar w:fldCharType="separate"/>
      </w:r>
      <w:r>
        <w:rPr>
          <w:rStyle w:val="34"/>
          <w:rFonts w:hint="eastAsia"/>
        </w:rPr>
        <w:t>附录D（资料性）</w:t>
      </w:r>
      <w:r>
        <w:rPr>
          <w:rStyle w:val="34"/>
        </w:rPr>
        <w:t xml:space="preserve"> </w:t>
      </w:r>
      <w:r>
        <w:rPr>
          <w:rStyle w:val="34"/>
          <w:rFonts w:hint="eastAsia"/>
        </w:rPr>
        <w:t xml:space="preserve"> 质量追溯场景应用示例</w:t>
      </w:r>
      <w:r>
        <w:tab/>
      </w:r>
      <w:r>
        <w:fldChar w:fldCharType="begin"/>
      </w:r>
      <w:r>
        <w:instrText xml:space="preserve"> PAGEREF _Toc235521579 \h </w:instrText>
      </w:r>
      <w:r>
        <w:fldChar w:fldCharType="separate"/>
      </w:r>
      <w:r>
        <w:t>11</w:t>
      </w:r>
      <w:r>
        <w:fldChar w:fldCharType="end"/>
      </w:r>
      <w:r>
        <w:fldChar w:fldCharType="end"/>
      </w:r>
    </w:p>
    <w:p w14:paraId="3261EC01">
      <w:pPr>
        <w:pStyle w:val="94"/>
        <w:spacing w:after="360"/>
        <w:sectPr>
          <w:headerReference r:id="rId11" w:type="default"/>
          <w:footerReference r:id="rId13" w:type="default"/>
          <w:headerReference r:id="rId12" w:type="even"/>
          <w:pgSz w:w="11906" w:h="16838"/>
          <w:pgMar w:top="1928" w:right="1134" w:bottom="1134" w:left="1134" w:header="1418" w:footer="1134" w:gutter="284"/>
          <w:pgNumType w:fmt="upperRoman" w:start="1"/>
          <w:cols w:space="425" w:num="1"/>
          <w:formProt w:val="0"/>
          <w:docGrid w:linePitch="312" w:charSpace="0"/>
        </w:sectPr>
      </w:pPr>
      <w:r>
        <w:fldChar w:fldCharType="end"/>
      </w:r>
    </w:p>
    <w:bookmarkEnd w:id="19"/>
    <w:p w14:paraId="60619009">
      <w:pPr>
        <w:pStyle w:val="92"/>
        <w:spacing w:after="360"/>
      </w:pPr>
      <w:bookmarkStart w:id="26" w:name="_Toc235521565"/>
      <w:bookmarkStart w:id="27" w:name="BookMark2"/>
      <w:r>
        <w:rPr>
          <w:spacing w:val="320"/>
        </w:rPr>
        <w:t>前</w:t>
      </w:r>
      <w:r>
        <w:t>言</w:t>
      </w:r>
      <w:bookmarkEnd w:id="20"/>
      <w:bookmarkEnd w:id="21"/>
      <w:bookmarkEnd w:id="22"/>
      <w:bookmarkEnd w:id="23"/>
      <w:bookmarkEnd w:id="24"/>
      <w:bookmarkEnd w:id="25"/>
      <w:bookmarkEnd w:id="26"/>
    </w:p>
    <w:p w14:paraId="73492B14">
      <w:pPr>
        <w:pStyle w:val="59"/>
        <w:ind w:firstLine="420"/>
      </w:pPr>
      <w:r>
        <w:rPr>
          <w:rFonts w:hint="eastAsia"/>
        </w:rPr>
        <w:t>本文件按照GB/T 1.1—2020《标准化工作导则  第1部分：标准化文件的结构和起草规则》的规定起草。</w:t>
      </w:r>
    </w:p>
    <w:p w14:paraId="3039A34C">
      <w:pPr>
        <w:pStyle w:val="59"/>
        <w:ind w:firstLine="420"/>
      </w:pPr>
      <w:r>
        <w:rPr>
          <w:rFonts w:hint="eastAsia"/>
        </w:rPr>
        <w:t>请注意本文件的某些内容可能涉及专利。本文件的发布机构不承担识别专利的责任。</w:t>
      </w:r>
    </w:p>
    <w:p w14:paraId="73DA0170">
      <w:pPr>
        <w:pStyle w:val="59"/>
        <w:ind w:firstLine="420"/>
      </w:pPr>
      <w:r>
        <w:rPr>
          <w:rFonts w:hint="eastAsia"/>
        </w:rPr>
        <w:t>本文件由</w:t>
      </w:r>
      <w:bookmarkStart w:id="28" w:name="OLE_LINK2"/>
      <w:r>
        <w:rPr>
          <w:rFonts w:hint="eastAsia"/>
        </w:rPr>
        <w:t>中国物品编码中心</w:t>
      </w:r>
      <w:bookmarkEnd w:id="28"/>
      <w:r>
        <w:rPr>
          <w:rFonts w:hint="eastAsia"/>
        </w:rPr>
        <w:t>提出。</w:t>
      </w:r>
    </w:p>
    <w:p w14:paraId="0444B9FA">
      <w:pPr>
        <w:pStyle w:val="59"/>
        <w:ind w:firstLine="420"/>
      </w:pPr>
      <w:r>
        <w:rPr>
          <w:rFonts w:hint="eastAsia"/>
        </w:rPr>
        <w:t>本文件由中国条码技术与应用协会归口。</w:t>
      </w:r>
    </w:p>
    <w:p w14:paraId="59443BB1">
      <w:pPr>
        <w:pStyle w:val="59"/>
        <w:ind w:firstLine="420"/>
        <w:rPr>
          <w:rFonts w:hint="default" w:eastAsia="宋体"/>
          <w:lang w:val="en-US" w:eastAsia="zh-CN"/>
        </w:rPr>
      </w:pPr>
      <w:r>
        <w:rPr>
          <w:rFonts w:hint="eastAsia"/>
        </w:rPr>
        <w:t>本文件起草单位：中国物品编码中心、北京市</w:t>
      </w:r>
      <w:r>
        <w:t>标准化研究院</w:t>
      </w:r>
      <w:r>
        <w:rPr>
          <w:rFonts w:hint="eastAsia"/>
          <w:lang w:eastAsia="zh-CN"/>
        </w:rPr>
        <w:t>、</w:t>
      </w:r>
      <w:r>
        <w:rPr>
          <w:rFonts w:hint="eastAsia"/>
          <w:lang w:val="en-US" w:eastAsia="zh-CN"/>
        </w:rPr>
        <w:t>领先未来科技集团有限公司</w:t>
      </w:r>
      <w:bookmarkStart w:id="175" w:name="_GoBack"/>
      <w:bookmarkEnd w:id="175"/>
    </w:p>
    <w:p w14:paraId="1FC278D5">
      <w:pPr>
        <w:pStyle w:val="59"/>
        <w:ind w:firstLine="420"/>
      </w:pPr>
      <w:r>
        <w:rPr>
          <w:rFonts w:hint="eastAsia"/>
        </w:rPr>
        <w:t>本文件主要起草人：</w:t>
      </w:r>
    </w:p>
    <w:p w14:paraId="5B219D75">
      <w:pPr>
        <w:pStyle w:val="59"/>
        <w:ind w:firstLine="420"/>
      </w:pPr>
    </w:p>
    <w:p w14:paraId="3B389EA6">
      <w:pPr>
        <w:pStyle w:val="59"/>
        <w:ind w:firstLine="420"/>
        <w:sectPr>
          <w:pgSz w:w="11906" w:h="16838"/>
          <w:pgMar w:top="1928" w:right="1134" w:bottom="1134" w:left="1134" w:header="1418" w:footer="1134" w:gutter="284"/>
          <w:pgNumType w:fmt="upperRoman"/>
          <w:cols w:space="425" w:num="1"/>
          <w:formProt w:val="0"/>
          <w:docGrid w:linePitch="312" w:charSpace="0"/>
        </w:sectPr>
      </w:pPr>
    </w:p>
    <w:bookmarkEnd w:id="27"/>
    <w:p w14:paraId="1F7631B4">
      <w:pPr>
        <w:spacing w:line="20" w:lineRule="exact"/>
        <w:jc w:val="center"/>
        <w:rPr>
          <w:rFonts w:ascii="黑体" w:hAnsi="黑体" w:eastAsia="黑体"/>
          <w:sz w:val="32"/>
          <w:szCs w:val="32"/>
        </w:rPr>
      </w:pPr>
      <w:bookmarkStart w:id="29" w:name="BookMark4"/>
    </w:p>
    <w:p w14:paraId="473E3910">
      <w:pPr>
        <w:spacing w:line="20" w:lineRule="exact"/>
        <w:jc w:val="center"/>
        <w:rPr>
          <w:rFonts w:ascii="黑体" w:hAnsi="黑体" w:eastAsia="黑体"/>
          <w:sz w:val="32"/>
          <w:szCs w:val="32"/>
        </w:rPr>
      </w:pPr>
    </w:p>
    <w:sdt>
      <w:sdtPr>
        <w:tag w:val="NEW_STAND_NAME"/>
        <w:id w:val="595910757"/>
        <w:lock w:val="sdtLocked"/>
        <w:placeholder>
          <w:docPart w:val="580D56B5B08F4BADBD9F28CDBAC48709"/>
        </w:placeholder>
      </w:sdtPr>
      <w:sdtContent>
        <w:p w14:paraId="3B569754">
          <w:pPr>
            <w:pStyle w:val="180"/>
            <w:spacing w:before="2" w:beforeLines="1" w:after="528" w:afterLines="220"/>
          </w:pPr>
          <w:bookmarkStart w:id="30" w:name="NEW_STAND_NAME"/>
          <w:bookmarkStart w:id="31" w:name="OLE_LINK1"/>
          <w:r>
            <w:t>MRO工业品</w:t>
          </w:r>
          <w:r>
            <w:rPr>
              <w:rFonts w:hint="eastAsia"/>
            </w:rPr>
            <w:t>商品条码</w:t>
          </w:r>
          <w:r>
            <w:t>应用指南</w:t>
          </w:r>
        </w:p>
      </w:sdtContent>
    </w:sdt>
    <w:bookmarkEnd w:id="30"/>
    <w:bookmarkEnd w:id="31"/>
    <w:p w14:paraId="302B1833">
      <w:pPr>
        <w:pStyle w:val="107"/>
        <w:spacing w:before="240" w:after="240"/>
      </w:pPr>
      <w:bookmarkStart w:id="32" w:name="_Toc26648465"/>
      <w:bookmarkStart w:id="33" w:name="_Toc26986530"/>
      <w:bookmarkStart w:id="34" w:name="_Toc17233325"/>
      <w:bookmarkStart w:id="35" w:name="_Toc217395878"/>
      <w:bookmarkStart w:id="36" w:name="_Toc97192964"/>
      <w:bookmarkStart w:id="37" w:name="_Toc229239468"/>
      <w:bookmarkStart w:id="38" w:name="_Toc226108882"/>
      <w:bookmarkStart w:id="39" w:name="_Toc17233333"/>
      <w:bookmarkStart w:id="40" w:name="_Toc232582254"/>
      <w:bookmarkStart w:id="41" w:name="_Toc229239436"/>
      <w:bookmarkStart w:id="42" w:name="_Toc24884211"/>
      <w:bookmarkStart w:id="43" w:name="_Toc24884218"/>
      <w:bookmarkStart w:id="44" w:name="_Toc235521566"/>
      <w:bookmarkStart w:id="45" w:name="_Toc26718930"/>
      <w:bookmarkStart w:id="46" w:name="_Toc26986771"/>
      <w:bookmarkStart w:id="47" w:name="_Toc218781152"/>
      <w:r>
        <w:rPr>
          <w:rFonts w:hint="eastAsia"/>
        </w:rPr>
        <w:t>范围</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4F057EE5">
      <w:pPr>
        <w:pStyle w:val="59"/>
        <w:ind w:firstLine="420"/>
      </w:pPr>
      <w:bookmarkStart w:id="48" w:name="OLE_LINK4"/>
      <w:bookmarkStart w:id="49" w:name="_Toc26648466"/>
      <w:bookmarkStart w:id="50" w:name="_Toc17233326"/>
      <w:bookmarkStart w:id="51" w:name="_Toc24884212"/>
      <w:bookmarkStart w:id="52" w:name="_Toc24884219"/>
      <w:bookmarkStart w:id="53" w:name="_Toc17233334"/>
      <w:r>
        <w:rPr>
          <w:rFonts w:hint="eastAsia"/>
        </w:rPr>
        <w:t>本文件给出了</w:t>
      </w:r>
      <w:r>
        <w:t>MRO工业品</w:t>
      </w:r>
      <w:r>
        <w:rPr>
          <w:rFonts w:hint="eastAsia"/>
        </w:rPr>
        <w:t>商品条码</w:t>
      </w:r>
      <w:r>
        <w:t>应</w:t>
      </w:r>
      <w:r>
        <w:rPr>
          <w:rFonts w:hint="eastAsia"/>
        </w:rPr>
        <w:t>用的总则，提供了</w:t>
      </w:r>
      <w:r>
        <w:t>MRO工业品</w:t>
      </w:r>
      <w:bookmarkStart w:id="54" w:name="OLE_LINK3"/>
      <w:r>
        <w:rPr>
          <w:rFonts w:hint="eastAsia"/>
        </w:rPr>
        <w:t>商品条码注册、编码、条码表示、条码符号质量控制及应用场景的指导。</w:t>
      </w:r>
      <w:bookmarkEnd w:id="54"/>
    </w:p>
    <w:p w14:paraId="156F57BC">
      <w:pPr>
        <w:pStyle w:val="59"/>
        <w:ind w:firstLine="420"/>
      </w:pPr>
      <w:r>
        <w:rPr>
          <w:rFonts w:hint="eastAsia"/>
        </w:rPr>
        <w:t>本文件适用于商品</w:t>
      </w:r>
      <w:r>
        <w:t>条码</w:t>
      </w:r>
      <w:r>
        <w:rPr>
          <w:rFonts w:hint="eastAsia"/>
        </w:rPr>
        <w:t>在</w:t>
      </w:r>
      <w:r>
        <w:t>MRO工业品</w:t>
      </w:r>
      <w:r>
        <w:rPr>
          <w:rFonts w:hint="eastAsia"/>
        </w:rPr>
        <w:t>中的应用。</w:t>
      </w:r>
    </w:p>
    <w:bookmarkEnd w:id="48"/>
    <w:p w14:paraId="26DB33C9">
      <w:pPr>
        <w:pStyle w:val="107"/>
        <w:spacing w:before="240" w:after="240"/>
      </w:pPr>
      <w:bookmarkStart w:id="55" w:name="_Toc226108883"/>
      <w:bookmarkStart w:id="56" w:name="_Toc218781153"/>
      <w:bookmarkStart w:id="57" w:name="_Toc26718931"/>
      <w:bookmarkStart w:id="58" w:name="_Toc232582255"/>
      <w:bookmarkStart w:id="59" w:name="_Toc97192965"/>
      <w:bookmarkStart w:id="60" w:name="_Toc229239469"/>
      <w:bookmarkStart w:id="61" w:name="_Toc229239437"/>
      <w:bookmarkStart w:id="62" w:name="_Toc235521567"/>
      <w:bookmarkStart w:id="63" w:name="_Toc217395879"/>
      <w:bookmarkStart w:id="64" w:name="_Toc26986531"/>
      <w:bookmarkStart w:id="65" w:name="_Toc26986772"/>
      <w:r>
        <w:rPr>
          <w:rFonts w:hint="eastAsia"/>
        </w:rPr>
        <w:t>规范性引用文件</w:t>
      </w:r>
      <w:bookmarkEnd w:id="49"/>
      <w:bookmarkEnd w:id="50"/>
      <w:bookmarkEnd w:id="51"/>
      <w:bookmarkEnd w:id="52"/>
      <w:bookmarkEnd w:id="53"/>
      <w:bookmarkEnd w:id="55"/>
      <w:bookmarkEnd w:id="56"/>
      <w:bookmarkEnd w:id="57"/>
      <w:bookmarkEnd w:id="58"/>
      <w:bookmarkEnd w:id="59"/>
      <w:bookmarkEnd w:id="60"/>
      <w:bookmarkEnd w:id="61"/>
      <w:bookmarkEnd w:id="62"/>
      <w:bookmarkEnd w:id="63"/>
      <w:bookmarkEnd w:id="64"/>
      <w:bookmarkEnd w:id="65"/>
    </w:p>
    <w:sdt>
      <w:sdtPr>
        <w:rPr>
          <w:rFonts w:hint="eastAsia"/>
        </w:rPr>
        <w:id w:val="715848253"/>
        <w:placeholder>
          <w:docPart w:val="B7CC3D851EF748DDB6302786B00FE1E7"/>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00BE28D0">
          <w:pPr>
            <w:pStyle w:val="59"/>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147ADFAF">
      <w:pPr>
        <w:pStyle w:val="59"/>
        <w:ind w:firstLine="420"/>
        <w:rPr>
          <w:color w:val="000000" w:themeColor="text1"/>
          <w14:textFill>
            <w14:solidFill>
              <w14:schemeClr w14:val="tx1"/>
            </w14:solidFill>
          </w14:textFill>
        </w:rPr>
      </w:pPr>
      <w:bookmarkStart w:id="66" w:name="OLE_LINK19"/>
      <w:bookmarkStart w:id="67" w:name="OLE_LINK21"/>
      <w:r>
        <w:rPr>
          <w:rFonts w:hint="eastAsia"/>
          <w:color w:val="000000" w:themeColor="text1"/>
          <w14:textFill>
            <w14:solidFill>
              <w14:schemeClr w14:val="tx1"/>
            </w14:solidFill>
          </w14:textFill>
        </w:rPr>
        <w:t>GB</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 xml:space="preserve">12904 </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商品条码  零售商品编码与条码表示</w:t>
      </w:r>
    </w:p>
    <w:p w14:paraId="50BBFA5A">
      <w:pPr>
        <w:pStyle w:val="59"/>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GB/T</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 xml:space="preserve">12905 </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条码术语</w:t>
      </w:r>
    </w:p>
    <w:p w14:paraId="5C329227">
      <w:pPr>
        <w:pStyle w:val="59"/>
        <w:ind w:firstLine="420"/>
        <w:rPr>
          <w:color w:val="000000" w:themeColor="text1"/>
          <w14:textFill>
            <w14:solidFill>
              <w14:schemeClr w14:val="tx1"/>
            </w14:solidFill>
          </w14:textFill>
        </w:rPr>
      </w:pPr>
      <w:r>
        <w:rPr>
          <w:color w:val="000000" w:themeColor="text1"/>
          <w14:textFill>
            <w14:solidFill>
              <w14:schemeClr w14:val="tx1"/>
            </w14:solidFill>
          </w14:textFill>
        </w:rPr>
        <w:t xml:space="preserve">GB/T 14257  </w:t>
      </w:r>
      <w:r>
        <w:t>商品条码符号位置</w:t>
      </w:r>
    </w:p>
    <w:p w14:paraId="18FBEB33">
      <w:pPr>
        <w:pStyle w:val="59"/>
        <w:ind w:firstLine="420"/>
        <w:rPr>
          <w:color w:val="000000" w:themeColor="text1"/>
          <w14:textFill>
            <w14:solidFill>
              <w14:schemeClr w14:val="tx1"/>
            </w14:solidFill>
          </w14:textFill>
        </w:rPr>
      </w:pPr>
      <w:r>
        <w:t xml:space="preserve">GB/T 15425  </w:t>
      </w:r>
      <w:r>
        <w:rPr>
          <w:rFonts w:hint="eastAsia"/>
        </w:rPr>
        <w:t>商品条码 128条码</w:t>
      </w:r>
    </w:p>
    <w:p w14:paraId="6B297D29">
      <w:pPr>
        <w:pStyle w:val="59"/>
        <w:ind w:firstLine="420"/>
        <w:rPr>
          <w:color w:val="000000" w:themeColor="text1"/>
          <w14:textFill>
            <w14:solidFill>
              <w14:schemeClr w14:val="tx1"/>
            </w14:solidFill>
          </w14:textFill>
        </w:rPr>
      </w:pPr>
      <w:r>
        <w:rPr>
          <w:color w:val="000000" w:themeColor="text1"/>
          <w14:textFill>
            <w14:solidFill>
              <w14:schemeClr w14:val="tx1"/>
            </w14:solidFill>
          </w14:textFill>
        </w:rPr>
        <w:t xml:space="preserve">GB/T 16830  </w:t>
      </w:r>
      <w:r>
        <w:rPr>
          <w:rFonts w:hint="eastAsia"/>
          <w:color w:val="000000" w:themeColor="text1"/>
          <w14:textFill>
            <w14:solidFill>
              <w14:schemeClr w14:val="tx1"/>
            </w14:solidFill>
          </w14:textFill>
        </w:rPr>
        <w:t>商品条码 储运包装商品编码与条码表示</w:t>
      </w:r>
    </w:p>
    <w:p w14:paraId="5C095D7D">
      <w:pPr>
        <w:pStyle w:val="59"/>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GB/T</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 xml:space="preserve">16986 </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商品条码 应用标识符</w:t>
      </w:r>
    </w:p>
    <w:p w14:paraId="2AAAD7A4">
      <w:pPr>
        <w:pStyle w:val="59"/>
        <w:ind w:firstLine="420"/>
        <w:rPr>
          <w:color w:val="000000" w:themeColor="text1"/>
          <w14:textFill>
            <w14:solidFill>
              <w14:schemeClr w14:val="tx1"/>
            </w14:solidFill>
          </w14:textFill>
        </w:rPr>
      </w:pPr>
      <w:r>
        <w:rPr>
          <w:rFonts w:hint="eastAsia"/>
        </w:rPr>
        <w:t>GB/T 18284</w:t>
      </w:r>
      <w:r>
        <w:t xml:space="preserve">  </w:t>
      </w:r>
      <w:r>
        <w:rPr>
          <w:rFonts w:hint="eastAsia"/>
        </w:rPr>
        <w:t>快速响应矩阵码</w:t>
      </w:r>
    </w:p>
    <w:p w14:paraId="34B1A882">
      <w:pPr>
        <w:pStyle w:val="59"/>
        <w:ind w:firstLine="420"/>
      </w:pPr>
      <w:r>
        <w:rPr>
          <w:rFonts w:hint="eastAsia"/>
        </w:rPr>
        <w:t>GB/T 18348</w:t>
      </w:r>
      <w:r>
        <w:t xml:space="preserve">  </w:t>
      </w:r>
      <w:r>
        <w:rPr>
          <w:rFonts w:hint="eastAsia"/>
        </w:rPr>
        <w:t>商品条码 条码符号印制质量的检验</w:t>
      </w:r>
    </w:p>
    <w:p w14:paraId="5FE2FDB0">
      <w:pPr>
        <w:pStyle w:val="59"/>
        <w:ind w:firstLine="420"/>
      </w:pPr>
      <w:r>
        <w:rPr>
          <w:rFonts w:hint="eastAsia"/>
        </w:rPr>
        <w:t>GB/T 21049</w:t>
      </w:r>
      <w:r>
        <w:t xml:space="preserve">  </w:t>
      </w:r>
      <w:r>
        <w:rPr>
          <w:rFonts w:hint="eastAsia"/>
        </w:rPr>
        <w:t>汉信码</w:t>
      </w:r>
    </w:p>
    <w:p w14:paraId="07C0BC95">
      <w:pPr>
        <w:pStyle w:val="59"/>
        <w:ind w:firstLine="420"/>
      </w:pPr>
      <w:r>
        <w:t xml:space="preserve">GB/T 23704  </w:t>
      </w:r>
      <w:r>
        <w:rPr>
          <w:rFonts w:hint="eastAsia"/>
        </w:rPr>
        <w:t>二维条码符号印制质量的检验</w:t>
      </w:r>
    </w:p>
    <w:p w14:paraId="64519957">
      <w:pPr>
        <w:pStyle w:val="59"/>
        <w:ind w:firstLine="404"/>
      </w:pPr>
      <w:r>
        <w:rPr>
          <w:rFonts w:hint="eastAsia"/>
          <w:spacing w:val="-4"/>
        </w:rPr>
        <w:t>GB/T 33993</w:t>
      </w:r>
      <w:r>
        <w:rPr>
          <w:spacing w:val="-4"/>
        </w:rPr>
        <w:t xml:space="preserve">  </w:t>
      </w:r>
      <w:r>
        <w:rPr>
          <w:rFonts w:hint="eastAsia"/>
          <w:spacing w:val="-4"/>
        </w:rPr>
        <w:t>商品二维码</w:t>
      </w:r>
    </w:p>
    <w:p w14:paraId="247DED15">
      <w:pPr>
        <w:pStyle w:val="59"/>
        <w:ind w:firstLine="420"/>
      </w:pPr>
      <w:r>
        <w:rPr>
          <w:rFonts w:hint="eastAsia"/>
        </w:rPr>
        <w:t>GB/T 41208</w:t>
      </w:r>
      <w:r>
        <w:t xml:space="preserve">  </w:t>
      </w:r>
      <w:r>
        <w:rPr>
          <w:rFonts w:hint="eastAsia"/>
        </w:rPr>
        <w:t>数据矩阵码</w:t>
      </w:r>
    </w:p>
    <w:bookmarkEnd w:id="66"/>
    <w:bookmarkEnd w:id="67"/>
    <w:p w14:paraId="1820BB8B">
      <w:pPr>
        <w:pStyle w:val="107"/>
        <w:spacing w:before="240" w:after="240"/>
      </w:pPr>
      <w:bookmarkStart w:id="68" w:name="_Toc229239470"/>
      <w:bookmarkStart w:id="69" w:name="_Toc217395880"/>
      <w:bookmarkStart w:id="70" w:name="_Toc97192966"/>
      <w:bookmarkStart w:id="71" w:name="_Toc235521568"/>
      <w:bookmarkStart w:id="72" w:name="_Toc232582256"/>
      <w:bookmarkStart w:id="73" w:name="_Toc229239438"/>
      <w:bookmarkStart w:id="74" w:name="_Toc218781154"/>
      <w:bookmarkStart w:id="75" w:name="_Toc226108884"/>
      <w:r>
        <w:rPr>
          <w:rFonts w:hint="eastAsia"/>
          <w:szCs w:val="21"/>
        </w:rPr>
        <w:t>术语和定义</w:t>
      </w:r>
      <w:bookmarkEnd w:id="68"/>
      <w:bookmarkEnd w:id="69"/>
      <w:bookmarkEnd w:id="70"/>
      <w:bookmarkEnd w:id="71"/>
      <w:bookmarkEnd w:id="72"/>
      <w:bookmarkEnd w:id="73"/>
      <w:bookmarkEnd w:id="74"/>
      <w:bookmarkEnd w:id="75"/>
    </w:p>
    <w:sdt>
      <w:sdtPr>
        <w:id w:val="-1909835108"/>
        <w:placeholder>
          <w:docPart w:val="BA82D06D90E64723B242681EBFFDA947"/>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09FE18BC">
          <w:pPr>
            <w:pStyle w:val="59"/>
            <w:ind w:firstLine="420"/>
          </w:pPr>
          <w:bookmarkStart w:id="76" w:name="_Toc26986532"/>
          <w:bookmarkEnd w:id="76"/>
          <w:r>
            <w:rPr>
              <w:rFonts w:hint="eastAsia"/>
            </w:rPr>
            <w:t>GB 12904、GB/T 12905和GB/T 16986</w:t>
          </w:r>
          <w:r>
            <w:t>界定的以及下列术语和定义适用于本文件。</w:t>
          </w:r>
        </w:p>
      </w:sdtContent>
    </w:sdt>
    <w:p w14:paraId="7B44B2F6">
      <w:pPr>
        <w:pStyle w:val="226"/>
        <w:ind w:left="420" w:hanging="420" w:hangingChars="200"/>
        <w:rPr>
          <w:rFonts w:ascii="黑体" w:hAnsi="黑体" w:eastAsia="黑体"/>
        </w:rPr>
      </w:pPr>
      <w:r>
        <w:rPr>
          <w:rFonts w:ascii="黑体" w:hAnsi="黑体" w:eastAsia="黑体"/>
        </w:rPr>
        <w:br w:type="textWrapping"/>
      </w:r>
      <w:r>
        <w:rPr>
          <w:rFonts w:ascii="黑体" w:hAnsi="黑体" w:eastAsia="黑体"/>
        </w:rPr>
        <w:t>MRO工业品</w:t>
      </w:r>
      <w:r>
        <w:rPr>
          <w:rFonts w:hint="eastAsia" w:ascii="黑体" w:hAnsi="黑体" w:eastAsia="黑体"/>
        </w:rPr>
        <w:t xml:space="preserve"> </w:t>
      </w:r>
      <w:r>
        <w:rPr>
          <w:rFonts w:ascii="黑体" w:hAnsi="黑体" w:eastAsia="黑体"/>
        </w:rPr>
        <w:t>maintenance</w:t>
      </w:r>
      <w:r>
        <w:rPr>
          <w:rFonts w:hint="eastAsia" w:ascii="黑体" w:hAnsi="黑体" w:eastAsia="黑体"/>
        </w:rPr>
        <w:t>，</w:t>
      </w:r>
      <w:r>
        <w:rPr>
          <w:rFonts w:ascii="黑体" w:hAnsi="黑体" w:eastAsia="黑体"/>
        </w:rPr>
        <w:t>repair</w:t>
      </w:r>
      <w:r>
        <w:rPr>
          <w:rFonts w:hint="eastAsia" w:ascii="黑体" w:hAnsi="黑体" w:eastAsia="黑体"/>
        </w:rPr>
        <w:t>，</w:t>
      </w:r>
      <w:r>
        <w:rPr>
          <w:rFonts w:ascii="黑体" w:hAnsi="黑体" w:eastAsia="黑体"/>
        </w:rPr>
        <w:t>and operations (MRO) industrial products</w:t>
      </w:r>
    </w:p>
    <w:p w14:paraId="523A3442">
      <w:pPr>
        <w:pStyle w:val="59"/>
        <w:ind w:firstLine="420"/>
      </w:pPr>
      <w:r>
        <w:rPr>
          <w:rFonts w:hint="eastAsia"/>
        </w:rPr>
        <w:t>指在实际生产过程不直接构成产品，只用于维护、维修、运行设备的物料。</w:t>
      </w:r>
    </w:p>
    <w:p w14:paraId="5E19785C">
      <w:pPr>
        <w:pStyle w:val="107"/>
        <w:spacing w:before="240" w:after="240"/>
      </w:pPr>
      <w:bookmarkStart w:id="77" w:name="_Toc232582257"/>
      <w:bookmarkStart w:id="78" w:name="_Toc229239471"/>
      <w:bookmarkStart w:id="79" w:name="_Toc226108885"/>
      <w:bookmarkStart w:id="80" w:name="_Toc217395881"/>
      <w:bookmarkStart w:id="81" w:name="_Toc235521569"/>
      <w:bookmarkStart w:id="82" w:name="_Toc229239439"/>
      <w:bookmarkStart w:id="83" w:name="_Toc218781155"/>
      <w:r>
        <w:rPr>
          <w:rFonts w:hint="eastAsia"/>
        </w:rPr>
        <w:t>缩略语</w:t>
      </w:r>
      <w:bookmarkEnd w:id="77"/>
      <w:bookmarkEnd w:id="78"/>
      <w:bookmarkEnd w:id="79"/>
      <w:bookmarkEnd w:id="80"/>
      <w:bookmarkEnd w:id="81"/>
      <w:bookmarkEnd w:id="82"/>
      <w:bookmarkEnd w:id="83"/>
    </w:p>
    <w:p w14:paraId="752F5449">
      <w:pPr>
        <w:pStyle w:val="59"/>
        <w:ind w:left="420" w:leftChars="200" w:firstLine="0" w:firstLineChars="0"/>
      </w:pPr>
      <w:r>
        <w:rPr>
          <w:rFonts w:hint="eastAsia"/>
        </w:rPr>
        <w:t>下列缩略语适用于本文件。</w:t>
      </w:r>
      <w:r>
        <w:rPr>
          <w:rFonts w:hint="eastAsia"/>
        </w:rPr>
        <w:cr/>
      </w:r>
      <w:r>
        <w:rPr>
          <w:rFonts w:hint="eastAsia"/>
        </w:rPr>
        <w:t>AI：应用标识符(Application Identifier)</w:t>
      </w:r>
      <w:r>
        <w:rPr>
          <w:rFonts w:hint="eastAsia"/>
        </w:rPr>
        <w:cr/>
      </w:r>
      <w:r>
        <w:rPr>
          <w:rFonts w:hint="eastAsia"/>
        </w:rPr>
        <w:t>GTIN：全球贸易项目代码(Global Trade Item Number)</w:t>
      </w:r>
    </w:p>
    <w:p w14:paraId="76593F4A">
      <w:pPr>
        <w:pStyle w:val="59"/>
        <w:ind w:left="420" w:leftChars="200" w:firstLine="0" w:firstLineChars="0"/>
      </w:pPr>
      <w:r>
        <w:t xml:space="preserve">GS1: </w:t>
      </w:r>
      <w:r>
        <w:rPr>
          <w:rFonts w:hint="eastAsia"/>
        </w:rPr>
        <w:t>全球统一标识系统</w:t>
      </w:r>
      <w:r>
        <w:rPr>
          <w:rFonts w:hint="eastAsia" w:ascii="MS Mincho" w:hAnsi="MS Mincho" w:eastAsia="MS Mincho" w:cs="MS Mincho"/>
        </w:rPr>
        <w:t>‌</w:t>
      </w:r>
    </w:p>
    <w:p w14:paraId="6677E35C">
      <w:pPr>
        <w:pStyle w:val="107"/>
        <w:spacing w:before="240" w:after="240"/>
      </w:pPr>
      <w:bookmarkStart w:id="84" w:name="_Toc235521570"/>
      <w:bookmarkStart w:id="85" w:name="_Toc229239440"/>
      <w:bookmarkStart w:id="86" w:name="_Toc217395882"/>
      <w:bookmarkStart w:id="87" w:name="_Toc232582258"/>
      <w:bookmarkStart w:id="88" w:name="_Toc229239472"/>
      <w:bookmarkStart w:id="89" w:name="_Toc226108886"/>
      <w:bookmarkStart w:id="90" w:name="_Toc218781156"/>
      <w:r>
        <w:rPr>
          <w:rFonts w:hint="eastAsia"/>
        </w:rPr>
        <w:t>总则</w:t>
      </w:r>
      <w:bookmarkEnd w:id="84"/>
      <w:bookmarkEnd w:id="85"/>
      <w:bookmarkEnd w:id="86"/>
      <w:bookmarkEnd w:id="87"/>
      <w:bookmarkEnd w:id="88"/>
      <w:bookmarkEnd w:id="89"/>
      <w:bookmarkEnd w:id="90"/>
    </w:p>
    <w:p w14:paraId="657BB85E">
      <w:pPr>
        <w:pStyle w:val="165"/>
      </w:pPr>
      <w:r>
        <w:rPr>
          <w:rFonts w:hint="eastAsia"/>
        </w:rPr>
        <w:t>每个不同的</w:t>
      </w:r>
      <w:r>
        <w:t>MRO工业品</w:t>
      </w:r>
      <w:r>
        <w:rPr>
          <w:rFonts w:hint="eastAsia"/>
        </w:rPr>
        <w:t>分配一个唯一的GTIN编码。</w:t>
      </w:r>
    </w:p>
    <w:p w14:paraId="0E5B90FE">
      <w:pPr>
        <w:pStyle w:val="165"/>
      </w:pPr>
      <w:r>
        <w:t>MRO工业品</w:t>
      </w:r>
      <w:r>
        <w:rPr>
          <w:rFonts w:hint="eastAsia"/>
        </w:rPr>
        <w:t>的编码一经分配，在贸易属性未发生根本性变化</w:t>
      </w:r>
      <w:r>
        <w:rPr>
          <w:rFonts w:hint="eastAsia"/>
          <w:lang w:val="en-US" w:eastAsia="zh-CN"/>
        </w:rPr>
        <w:t>的</w:t>
      </w:r>
      <w:r>
        <w:rPr>
          <w:rFonts w:hint="eastAsia"/>
        </w:rPr>
        <w:t>情况下保持长期不变。</w:t>
      </w:r>
    </w:p>
    <w:p w14:paraId="4FF90CF4">
      <w:pPr>
        <w:pStyle w:val="165"/>
      </w:pPr>
      <w:r>
        <w:rPr>
          <w:rFonts w:hint="eastAsia"/>
        </w:rPr>
        <w:t>商品条码支持</w:t>
      </w:r>
      <w:r>
        <w:t>MRO工业品</w:t>
      </w:r>
      <w:r>
        <w:rPr>
          <w:rFonts w:hint="eastAsia"/>
        </w:rPr>
        <w:t>的全生命周期管理。</w:t>
      </w:r>
    </w:p>
    <w:p w14:paraId="7CDD073C">
      <w:pPr>
        <w:pStyle w:val="107"/>
        <w:spacing w:before="240" w:after="240"/>
      </w:pPr>
      <w:bookmarkStart w:id="91" w:name="_Toc217395883"/>
      <w:bookmarkStart w:id="92" w:name="_Toc229239441"/>
      <w:bookmarkStart w:id="93" w:name="_Toc226108887"/>
      <w:bookmarkStart w:id="94" w:name="_Toc218781157"/>
      <w:bookmarkStart w:id="95" w:name="_Toc235521571"/>
      <w:bookmarkStart w:id="96" w:name="_Toc232582259"/>
      <w:bookmarkStart w:id="97" w:name="_Toc229239473"/>
      <w:r>
        <w:rPr>
          <w:rFonts w:hint="eastAsia"/>
        </w:rPr>
        <w:t>注册</w:t>
      </w:r>
      <w:bookmarkEnd w:id="91"/>
      <w:bookmarkEnd w:id="92"/>
      <w:bookmarkEnd w:id="93"/>
      <w:bookmarkEnd w:id="94"/>
      <w:bookmarkEnd w:id="95"/>
      <w:bookmarkEnd w:id="96"/>
      <w:bookmarkEnd w:id="97"/>
    </w:p>
    <w:p w14:paraId="099407DC">
      <w:pPr>
        <w:pStyle w:val="59"/>
        <w:ind w:firstLine="420"/>
      </w:pPr>
      <w:r>
        <w:rPr>
          <w:rFonts w:hint="eastAsia"/>
        </w:rPr>
        <w:t>MRO工业品生产者、品牌持有者宜首先注册成为中国商品条码系统成员，获取厂商识别代码。</w:t>
      </w:r>
    </w:p>
    <w:p w14:paraId="78FF0F1E">
      <w:pPr>
        <w:pStyle w:val="107"/>
        <w:spacing w:before="240" w:after="240"/>
      </w:pPr>
      <w:bookmarkStart w:id="98" w:name="_Toc229239442"/>
      <w:bookmarkStart w:id="99" w:name="_Toc229239474"/>
      <w:bookmarkStart w:id="100" w:name="_Toc218781158"/>
      <w:bookmarkStart w:id="101" w:name="_Toc232582260"/>
      <w:bookmarkStart w:id="102" w:name="_Toc217395884"/>
      <w:bookmarkStart w:id="103" w:name="_Toc235521572"/>
      <w:bookmarkStart w:id="104" w:name="_Toc226108888"/>
      <w:r>
        <w:rPr>
          <w:rFonts w:hint="eastAsia"/>
        </w:rPr>
        <w:t>编码</w:t>
      </w:r>
      <w:bookmarkEnd w:id="98"/>
      <w:bookmarkEnd w:id="99"/>
      <w:bookmarkEnd w:id="100"/>
      <w:bookmarkEnd w:id="101"/>
      <w:bookmarkEnd w:id="102"/>
      <w:bookmarkEnd w:id="103"/>
      <w:bookmarkEnd w:id="104"/>
    </w:p>
    <w:p w14:paraId="248AE519">
      <w:pPr>
        <w:pStyle w:val="108"/>
        <w:spacing w:before="120" w:after="120"/>
      </w:pPr>
      <w:bookmarkStart w:id="105" w:name="_Toc217395886"/>
      <w:r>
        <w:rPr>
          <w:rFonts w:hint="eastAsia"/>
        </w:rPr>
        <w:t>定量MRO工业品</w:t>
      </w:r>
      <w:bookmarkEnd w:id="105"/>
    </w:p>
    <w:p w14:paraId="064AF16B">
      <w:pPr>
        <w:pStyle w:val="168"/>
      </w:pPr>
      <w:r>
        <w:rPr>
          <w:rFonts w:hint="eastAsia"/>
        </w:rPr>
        <w:t>单独的、不可再分的独立包装的定量MRO工业品，其代码的编制宜符合GB 12904的要求。</w:t>
      </w:r>
    </w:p>
    <w:p w14:paraId="4DE86362">
      <w:pPr>
        <w:pStyle w:val="168"/>
      </w:pPr>
      <w:r>
        <w:rPr>
          <w:rFonts w:hint="eastAsia"/>
        </w:rPr>
        <w:t>由多个相同零售商品组成的标准的组合包装商品，其编码除可采用与其所含零售商品不同的GTIN-8或GTIN-13外，可也采用GTIN-14（指示符为1</w:t>
      </w:r>
      <w:r>
        <w:rPr>
          <w:rFonts w:ascii="Times New Roman"/>
        </w:rPr>
        <w:t>~</w:t>
      </w:r>
      <w:r>
        <w:rPr>
          <w:rFonts w:hint="eastAsia"/>
        </w:rPr>
        <w:t>8）</w:t>
      </w:r>
      <w:bookmarkStart w:id="106" w:name="OLE_LINK5"/>
      <w:r>
        <w:rPr>
          <w:rFonts w:hint="eastAsia"/>
        </w:rPr>
        <w:t>，见表1。</w:t>
      </w:r>
      <w:bookmarkEnd w:id="106"/>
    </w:p>
    <w:p w14:paraId="12C9D882">
      <w:pPr>
        <w:pStyle w:val="115"/>
        <w:spacing w:before="120" w:after="120"/>
      </w:pPr>
      <w:r>
        <w:rPr>
          <w:rFonts w:hint="eastAsia"/>
        </w:rPr>
        <w:t>GTIN-14代码结构</w:t>
      </w:r>
    </w:p>
    <w:tbl>
      <w:tblPr>
        <w:tblStyle w:val="29"/>
        <w:tblW w:w="9776" w:type="dxa"/>
        <w:tblInd w:w="-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732"/>
        <w:gridCol w:w="1012"/>
        <w:gridCol w:w="5615"/>
        <w:gridCol w:w="1417"/>
      </w:tblGrid>
      <w:tr w14:paraId="1DB977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23" w:hRule="atLeast"/>
        </w:trPr>
        <w:tc>
          <w:tcPr>
            <w:tcW w:w="1732" w:type="dxa"/>
            <w:tcBorders>
              <w:top w:val="single" w:color="auto" w:sz="8" w:space="0"/>
              <w:bottom w:val="single" w:color="auto" w:sz="8" w:space="0"/>
            </w:tcBorders>
            <w:shd w:val="clear" w:color="auto" w:fill="D8D8D8" w:themeFill="background1" w:themeFillShade="D9"/>
            <w:vAlign w:val="center"/>
          </w:tcPr>
          <w:p w14:paraId="01028116">
            <w:pPr>
              <w:spacing w:line="240" w:lineRule="auto"/>
              <w:jc w:val="center"/>
              <w:rPr>
                <w:rFonts w:ascii="宋体" w:hAnsi="宋体"/>
                <w:kern w:val="44"/>
                <w:sz w:val="18"/>
                <w:szCs w:val="26"/>
              </w:rPr>
            </w:pPr>
            <w:r>
              <w:rPr>
                <w:rFonts w:hint="eastAsia" w:ascii="宋体" w:hAnsi="宋体"/>
                <w:kern w:val="44"/>
                <w:sz w:val="18"/>
                <w:szCs w:val="26"/>
              </w:rPr>
              <w:t>类别</w:t>
            </w:r>
          </w:p>
        </w:tc>
        <w:tc>
          <w:tcPr>
            <w:tcW w:w="1012" w:type="dxa"/>
            <w:tcBorders>
              <w:top w:val="single" w:color="auto" w:sz="8" w:space="0"/>
              <w:bottom w:val="single" w:color="auto" w:sz="8" w:space="0"/>
            </w:tcBorders>
            <w:shd w:val="clear" w:color="auto" w:fill="D8D8D8" w:themeFill="background1" w:themeFillShade="D9"/>
            <w:vAlign w:val="center"/>
          </w:tcPr>
          <w:p w14:paraId="7835F38F">
            <w:pPr>
              <w:spacing w:line="240" w:lineRule="auto"/>
              <w:jc w:val="center"/>
              <w:rPr>
                <w:rFonts w:ascii="宋体" w:hAnsi="宋体"/>
                <w:kern w:val="44"/>
                <w:sz w:val="18"/>
                <w:szCs w:val="26"/>
              </w:rPr>
            </w:pPr>
            <w:r>
              <w:rPr>
                <w:rFonts w:hint="eastAsia" w:ascii="宋体" w:hAnsi="宋体"/>
                <w:kern w:val="44"/>
                <w:sz w:val="18"/>
                <w:szCs w:val="26"/>
              </w:rPr>
              <w:t>指示符</w:t>
            </w:r>
            <w:r>
              <w:rPr>
                <w:rFonts w:ascii="宋体" w:hAnsi="宋体"/>
                <w:kern w:val="44"/>
                <w:sz w:val="18"/>
                <w:szCs w:val="26"/>
                <w:vertAlign w:val="superscript"/>
              </w:rPr>
              <w:t>a</w:t>
            </w:r>
          </w:p>
        </w:tc>
        <w:tc>
          <w:tcPr>
            <w:tcW w:w="5615" w:type="dxa"/>
            <w:tcBorders>
              <w:top w:val="single" w:color="auto" w:sz="8" w:space="0"/>
              <w:bottom w:val="single" w:color="auto" w:sz="8" w:space="0"/>
            </w:tcBorders>
            <w:shd w:val="clear" w:color="auto" w:fill="D8D8D8" w:themeFill="background1" w:themeFillShade="D9"/>
            <w:vAlign w:val="center"/>
          </w:tcPr>
          <w:p w14:paraId="225352E7">
            <w:pPr>
              <w:spacing w:line="240" w:lineRule="auto"/>
              <w:jc w:val="center"/>
              <w:rPr>
                <w:rFonts w:ascii="宋体" w:hAnsi="宋体"/>
                <w:kern w:val="44"/>
                <w:sz w:val="18"/>
                <w:szCs w:val="26"/>
              </w:rPr>
            </w:pPr>
            <w:r>
              <w:rPr>
                <w:rFonts w:hint="eastAsia" w:ascii="宋体" w:hAnsi="宋体"/>
                <w:kern w:val="44"/>
                <w:sz w:val="18"/>
                <w:szCs w:val="26"/>
              </w:rPr>
              <w:t>内含</w:t>
            </w:r>
            <w:r>
              <w:rPr>
                <w:rFonts w:ascii="宋体" w:hAnsi="宋体"/>
                <w:kern w:val="44"/>
                <w:sz w:val="18"/>
                <w:szCs w:val="26"/>
              </w:rPr>
              <w:t>商品的GTIN</w:t>
            </w:r>
            <w:r>
              <w:rPr>
                <w:rFonts w:ascii="宋体" w:hAnsi="宋体"/>
                <w:kern w:val="44"/>
                <w:sz w:val="18"/>
                <w:szCs w:val="26"/>
                <w:vertAlign w:val="superscript"/>
              </w:rPr>
              <w:t>b</w:t>
            </w:r>
            <w:r>
              <w:rPr>
                <w:rFonts w:hint="eastAsia" w:ascii="宋体" w:hAnsi="宋体"/>
                <w:kern w:val="44"/>
                <w:sz w:val="18"/>
                <w:szCs w:val="26"/>
              </w:rPr>
              <w:t>（除</w:t>
            </w:r>
            <w:r>
              <w:rPr>
                <w:rFonts w:ascii="宋体" w:hAnsi="宋体"/>
                <w:kern w:val="44"/>
                <w:sz w:val="18"/>
                <w:szCs w:val="26"/>
              </w:rPr>
              <w:t>校验</w:t>
            </w:r>
            <w:r>
              <w:rPr>
                <w:rFonts w:hint="eastAsia" w:ascii="宋体" w:hAnsi="宋体"/>
                <w:kern w:val="44"/>
                <w:sz w:val="18"/>
                <w:szCs w:val="26"/>
              </w:rPr>
              <w:t>码</w:t>
            </w:r>
            <w:r>
              <w:rPr>
                <w:rFonts w:ascii="宋体" w:hAnsi="宋体"/>
                <w:kern w:val="44"/>
                <w:sz w:val="18"/>
                <w:szCs w:val="26"/>
              </w:rPr>
              <w:t>）</w:t>
            </w:r>
          </w:p>
        </w:tc>
        <w:tc>
          <w:tcPr>
            <w:tcW w:w="1417" w:type="dxa"/>
            <w:tcBorders>
              <w:top w:val="single" w:color="auto" w:sz="8" w:space="0"/>
              <w:bottom w:val="single" w:color="auto" w:sz="8" w:space="0"/>
            </w:tcBorders>
            <w:shd w:val="clear" w:color="auto" w:fill="D8D8D8" w:themeFill="background1" w:themeFillShade="D9"/>
            <w:vAlign w:val="center"/>
          </w:tcPr>
          <w:p w14:paraId="592FE31D">
            <w:pPr>
              <w:spacing w:line="240" w:lineRule="auto"/>
              <w:jc w:val="center"/>
              <w:rPr>
                <w:rFonts w:ascii="宋体" w:hAnsi="宋体"/>
                <w:kern w:val="44"/>
                <w:sz w:val="18"/>
                <w:szCs w:val="26"/>
              </w:rPr>
            </w:pPr>
            <w:r>
              <w:rPr>
                <w:rFonts w:hint="eastAsia" w:ascii="宋体" w:hAnsi="宋体"/>
                <w:kern w:val="44"/>
                <w:sz w:val="18"/>
                <w:szCs w:val="26"/>
              </w:rPr>
              <w:t>校验码</w:t>
            </w:r>
            <w:r>
              <w:rPr>
                <w:rFonts w:ascii="宋体" w:hAnsi="宋体"/>
                <w:kern w:val="44"/>
                <w:sz w:val="18"/>
                <w:szCs w:val="26"/>
                <w:vertAlign w:val="superscript"/>
              </w:rPr>
              <w:t>c</w:t>
            </w:r>
          </w:p>
        </w:tc>
      </w:tr>
      <w:tr w14:paraId="4FB611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23" w:hRule="atLeast"/>
        </w:trPr>
        <w:tc>
          <w:tcPr>
            <w:tcW w:w="1732" w:type="dxa"/>
            <w:tcBorders>
              <w:top w:val="single" w:color="auto" w:sz="8" w:space="0"/>
            </w:tcBorders>
            <w:vAlign w:val="center"/>
          </w:tcPr>
          <w:p w14:paraId="642E7163">
            <w:pPr>
              <w:spacing w:line="240" w:lineRule="auto"/>
              <w:jc w:val="center"/>
              <w:rPr>
                <w:rFonts w:ascii="宋体" w:hAnsi="宋体"/>
                <w:kern w:val="44"/>
                <w:sz w:val="18"/>
                <w:szCs w:val="26"/>
              </w:rPr>
            </w:pPr>
            <w:r>
              <w:rPr>
                <w:rFonts w:hint="eastAsia" w:ascii="宋体" w:hAnsi="宋体"/>
                <w:kern w:val="44"/>
                <w:sz w:val="18"/>
                <w:szCs w:val="26"/>
              </w:rPr>
              <w:t>基于</w:t>
            </w:r>
            <w:r>
              <w:rPr>
                <w:rFonts w:ascii="宋体" w:hAnsi="宋体"/>
                <w:kern w:val="44"/>
                <w:sz w:val="18"/>
                <w:szCs w:val="26"/>
              </w:rPr>
              <w:t>GTIN-13</w:t>
            </w:r>
          </w:p>
        </w:tc>
        <w:tc>
          <w:tcPr>
            <w:tcW w:w="1012" w:type="dxa"/>
            <w:tcBorders>
              <w:top w:val="single" w:color="auto" w:sz="8" w:space="0"/>
            </w:tcBorders>
            <w:vAlign w:val="center"/>
          </w:tcPr>
          <w:p w14:paraId="0E19D2BF">
            <w:pPr>
              <w:spacing w:line="240" w:lineRule="auto"/>
              <w:jc w:val="center"/>
              <w:rPr>
                <w:rFonts w:ascii="宋体" w:hAnsi="宋体"/>
                <w:kern w:val="44"/>
                <w:sz w:val="18"/>
                <w:szCs w:val="26"/>
              </w:rPr>
            </w:pPr>
            <w:r>
              <w:rPr>
                <w:rFonts w:ascii="宋体" w:hAnsi="宋体"/>
                <w:kern w:val="44"/>
                <w:sz w:val="18"/>
                <w:szCs w:val="26"/>
              </w:rPr>
              <w:t>X</w:t>
            </w:r>
            <w:r>
              <w:rPr>
                <w:rFonts w:ascii="宋体" w:hAnsi="宋体"/>
                <w:kern w:val="44"/>
                <w:sz w:val="18"/>
                <w:szCs w:val="26"/>
                <w:vertAlign w:val="subscript"/>
              </w:rPr>
              <w:t>14</w:t>
            </w:r>
          </w:p>
        </w:tc>
        <w:tc>
          <w:tcPr>
            <w:tcW w:w="5615" w:type="dxa"/>
            <w:tcBorders>
              <w:top w:val="single" w:color="auto" w:sz="8" w:space="0"/>
            </w:tcBorders>
            <w:vAlign w:val="center"/>
          </w:tcPr>
          <w:p w14:paraId="6AC7CD18">
            <w:pPr>
              <w:spacing w:line="240" w:lineRule="auto"/>
              <w:jc w:val="center"/>
              <w:rPr>
                <w:rFonts w:ascii="宋体" w:hAnsi="宋体"/>
                <w:kern w:val="44"/>
                <w:sz w:val="18"/>
                <w:szCs w:val="26"/>
              </w:rPr>
            </w:pPr>
            <w:r>
              <w:rPr>
                <w:rFonts w:ascii="宋体" w:hAnsi="宋体"/>
                <w:kern w:val="44"/>
                <w:sz w:val="18"/>
                <w:szCs w:val="26"/>
              </w:rPr>
              <w:t xml:space="preserve">      X</w:t>
            </w:r>
            <w:r>
              <w:rPr>
                <w:rFonts w:ascii="宋体" w:hAnsi="宋体"/>
                <w:kern w:val="44"/>
                <w:sz w:val="18"/>
                <w:szCs w:val="26"/>
                <w:vertAlign w:val="subscript"/>
              </w:rPr>
              <w:t>13</w:t>
            </w:r>
            <w:r>
              <w:rPr>
                <w:rFonts w:ascii="宋体" w:hAnsi="宋体"/>
                <w:kern w:val="44"/>
                <w:sz w:val="18"/>
                <w:szCs w:val="26"/>
              </w:rPr>
              <w:t>X</w:t>
            </w:r>
            <w:r>
              <w:rPr>
                <w:rFonts w:ascii="宋体" w:hAnsi="宋体"/>
                <w:kern w:val="44"/>
                <w:sz w:val="18"/>
                <w:szCs w:val="26"/>
                <w:vertAlign w:val="subscript"/>
              </w:rPr>
              <w:t>12</w:t>
            </w:r>
            <w:r>
              <w:rPr>
                <w:rFonts w:ascii="宋体" w:hAnsi="宋体"/>
                <w:kern w:val="44"/>
                <w:sz w:val="18"/>
                <w:szCs w:val="26"/>
              </w:rPr>
              <w:t>X</w:t>
            </w:r>
            <w:r>
              <w:rPr>
                <w:rFonts w:ascii="宋体" w:hAnsi="宋体"/>
                <w:kern w:val="44"/>
                <w:sz w:val="18"/>
                <w:szCs w:val="26"/>
                <w:vertAlign w:val="subscript"/>
              </w:rPr>
              <w:t>11</w:t>
            </w:r>
            <w:r>
              <w:rPr>
                <w:rFonts w:ascii="宋体" w:hAnsi="宋体"/>
                <w:kern w:val="44"/>
                <w:sz w:val="18"/>
                <w:szCs w:val="26"/>
              </w:rPr>
              <w:t>X</w:t>
            </w:r>
            <w:r>
              <w:rPr>
                <w:rFonts w:ascii="宋体" w:hAnsi="宋体"/>
                <w:kern w:val="44"/>
                <w:sz w:val="18"/>
                <w:szCs w:val="26"/>
                <w:vertAlign w:val="subscript"/>
              </w:rPr>
              <w:t>10</w:t>
            </w:r>
            <w:r>
              <w:rPr>
                <w:rFonts w:ascii="宋体" w:hAnsi="宋体"/>
                <w:kern w:val="44"/>
                <w:sz w:val="18"/>
                <w:szCs w:val="26"/>
              </w:rPr>
              <w:t>X</w:t>
            </w:r>
            <w:r>
              <w:rPr>
                <w:rFonts w:ascii="宋体" w:hAnsi="宋体"/>
                <w:kern w:val="44"/>
                <w:sz w:val="18"/>
                <w:szCs w:val="26"/>
                <w:vertAlign w:val="subscript"/>
              </w:rPr>
              <w:t>9</w:t>
            </w:r>
            <w:r>
              <w:rPr>
                <w:rFonts w:ascii="宋体" w:hAnsi="宋体"/>
                <w:kern w:val="44"/>
                <w:sz w:val="18"/>
                <w:szCs w:val="26"/>
              </w:rPr>
              <w:t>X</w:t>
            </w:r>
            <w:r>
              <w:rPr>
                <w:rFonts w:ascii="宋体" w:hAnsi="宋体"/>
                <w:kern w:val="44"/>
                <w:sz w:val="18"/>
                <w:szCs w:val="26"/>
                <w:vertAlign w:val="subscript"/>
              </w:rPr>
              <w:t>8</w:t>
            </w:r>
            <w:r>
              <w:rPr>
                <w:rFonts w:ascii="宋体" w:hAnsi="宋体"/>
                <w:kern w:val="44"/>
                <w:sz w:val="18"/>
                <w:szCs w:val="26"/>
              </w:rPr>
              <w:t>X</w:t>
            </w:r>
            <w:r>
              <w:rPr>
                <w:rFonts w:ascii="宋体" w:hAnsi="宋体"/>
                <w:kern w:val="44"/>
                <w:sz w:val="18"/>
                <w:szCs w:val="26"/>
                <w:vertAlign w:val="subscript"/>
              </w:rPr>
              <w:t>7</w:t>
            </w:r>
            <w:r>
              <w:rPr>
                <w:rFonts w:ascii="宋体" w:hAnsi="宋体"/>
                <w:kern w:val="44"/>
                <w:sz w:val="18"/>
                <w:szCs w:val="26"/>
              </w:rPr>
              <w:t>X</w:t>
            </w:r>
            <w:r>
              <w:rPr>
                <w:rFonts w:ascii="宋体" w:hAnsi="宋体"/>
                <w:kern w:val="44"/>
                <w:sz w:val="18"/>
                <w:szCs w:val="26"/>
                <w:vertAlign w:val="subscript"/>
              </w:rPr>
              <w:t>6</w:t>
            </w:r>
            <w:r>
              <w:rPr>
                <w:rFonts w:ascii="宋体" w:hAnsi="宋体"/>
                <w:kern w:val="44"/>
                <w:sz w:val="18"/>
                <w:szCs w:val="26"/>
              </w:rPr>
              <w:t>X</w:t>
            </w:r>
            <w:r>
              <w:rPr>
                <w:rFonts w:ascii="宋体" w:hAnsi="宋体"/>
                <w:kern w:val="44"/>
                <w:sz w:val="18"/>
                <w:szCs w:val="26"/>
                <w:vertAlign w:val="subscript"/>
              </w:rPr>
              <w:t>5</w:t>
            </w:r>
            <w:r>
              <w:rPr>
                <w:rFonts w:ascii="宋体" w:hAnsi="宋体"/>
                <w:kern w:val="44"/>
                <w:sz w:val="18"/>
                <w:szCs w:val="26"/>
              </w:rPr>
              <w:t>X</w:t>
            </w:r>
            <w:r>
              <w:rPr>
                <w:rFonts w:ascii="宋体" w:hAnsi="宋体"/>
                <w:kern w:val="44"/>
                <w:sz w:val="18"/>
                <w:szCs w:val="26"/>
                <w:vertAlign w:val="subscript"/>
              </w:rPr>
              <w:t>4</w:t>
            </w:r>
            <w:r>
              <w:rPr>
                <w:rFonts w:ascii="宋体" w:hAnsi="宋体"/>
                <w:kern w:val="44"/>
                <w:sz w:val="18"/>
                <w:szCs w:val="26"/>
              </w:rPr>
              <w:t>X</w:t>
            </w:r>
            <w:r>
              <w:rPr>
                <w:rFonts w:ascii="宋体" w:hAnsi="宋体"/>
                <w:kern w:val="44"/>
                <w:sz w:val="18"/>
                <w:szCs w:val="26"/>
                <w:vertAlign w:val="subscript"/>
              </w:rPr>
              <w:t>3</w:t>
            </w:r>
            <w:r>
              <w:rPr>
                <w:rFonts w:ascii="宋体" w:hAnsi="宋体"/>
                <w:kern w:val="44"/>
                <w:sz w:val="18"/>
                <w:szCs w:val="26"/>
              </w:rPr>
              <w:t>X</w:t>
            </w:r>
            <w:r>
              <w:rPr>
                <w:rFonts w:ascii="宋体" w:hAnsi="宋体"/>
                <w:kern w:val="44"/>
                <w:sz w:val="18"/>
                <w:szCs w:val="26"/>
                <w:vertAlign w:val="subscript"/>
              </w:rPr>
              <w:t>2</w:t>
            </w:r>
            <w:r>
              <w:rPr>
                <w:rFonts w:ascii="宋体" w:hAnsi="宋体"/>
                <w:kern w:val="44"/>
                <w:sz w:val="18"/>
                <w:szCs w:val="26"/>
              </w:rPr>
              <w:t xml:space="preserve">     </w:t>
            </w:r>
          </w:p>
        </w:tc>
        <w:tc>
          <w:tcPr>
            <w:tcW w:w="1417" w:type="dxa"/>
            <w:tcBorders>
              <w:top w:val="single" w:color="auto" w:sz="8" w:space="0"/>
            </w:tcBorders>
            <w:vAlign w:val="center"/>
          </w:tcPr>
          <w:p w14:paraId="00C23665">
            <w:pPr>
              <w:spacing w:line="240" w:lineRule="auto"/>
              <w:jc w:val="center"/>
              <w:rPr>
                <w:rFonts w:ascii="宋体" w:hAnsi="宋体"/>
                <w:kern w:val="44"/>
                <w:sz w:val="18"/>
                <w:szCs w:val="26"/>
              </w:rPr>
            </w:pPr>
            <w:r>
              <w:rPr>
                <w:rFonts w:ascii="宋体" w:hAnsi="宋体"/>
                <w:kern w:val="44"/>
                <w:sz w:val="18"/>
                <w:szCs w:val="26"/>
              </w:rPr>
              <w:t>X</w:t>
            </w:r>
            <w:r>
              <w:rPr>
                <w:rFonts w:ascii="宋体" w:hAnsi="宋体"/>
                <w:kern w:val="44"/>
                <w:sz w:val="18"/>
                <w:szCs w:val="26"/>
                <w:vertAlign w:val="subscript"/>
              </w:rPr>
              <w:t>1</w:t>
            </w:r>
          </w:p>
        </w:tc>
      </w:tr>
      <w:tr w14:paraId="2D23C4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23" w:hRule="atLeast"/>
        </w:trPr>
        <w:tc>
          <w:tcPr>
            <w:tcW w:w="1732" w:type="dxa"/>
            <w:vAlign w:val="center"/>
          </w:tcPr>
          <w:p w14:paraId="79D1F70B">
            <w:pPr>
              <w:spacing w:line="240" w:lineRule="auto"/>
              <w:jc w:val="center"/>
              <w:rPr>
                <w:rFonts w:ascii="宋体" w:hAnsi="宋体"/>
                <w:kern w:val="44"/>
                <w:sz w:val="18"/>
                <w:szCs w:val="26"/>
              </w:rPr>
            </w:pPr>
            <w:r>
              <w:rPr>
                <w:rFonts w:hint="eastAsia" w:ascii="宋体" w:hAnsi="宋体"/>
                <w:kern w:val="44"/>
                <w:sz w:val="18"/>
                <w:szCs w:val="26"/>
              </w:rPr>
              <w:t>基于</w:t>
            </w:r>
            <w:r>
              <w:rPr>
                <w:rFonts w:ascii="宋体" w:hAnsi="宋体"/>
                <w:kern w:val="44"/>
                <w:sz w:val="18"/>
                <w:szCs w:val="26"/>
              </w:rPr>
              <w:t>GTIN-8</w:t>
            </w:r>
          </w:p>
        </w:tc>
        <w:tc>
          <w:tcPr>
            <w:tcW w:w="1012" w:type="dxa"/>
            <w:vAlign w:val="center"/>
          </w:tcPr>
          <w:p w14:paraId="7A31A91A">
            <w:pPr>
              <w:spacing w:line="240" w:lineRule="auto"/>
              <w:jc w:val="center"/>
              <w:rPr>
                <w:rFonts w:ascii="宋体" w:hAnsi="宋体"/>
                <w:kern w:val="44"/>
                <w:sz w:val="18"/>
                <w:szCs w:val="26"/>
              </w:rPr>
            </w:pPr>
            <w:r>
              <w:rPr>
                <w:rFonts w:ascii="宋体" w:hAnsi="宋体"/>
                <w:kern w:val="44"/>
                <w:sz w:val="18"/>
                <w:szCs w:val="26"/>
              </w:rPr>
              <w:t>X</w:t>
            </w:r>
            <w:r>
              <w:rPr>
                <w:rFonts w:ascii="宋体" w:hAnsi="宋体"/>
                <w:kern w:val="44"/>
                <w:sz w:val="18"/>
                <w:szCs w:val="26"/>
                <w:vertAlign w:val="subscript"/>
              </w:rPr>
              <w:t>14</w:t>
            </w:r>
          </w:p>
        </w:tc>
        <w:tc>
          <w:tcPr>
            <w:tcW w:w="5615" w:type="dxa"/>
            <w:vAlign w:val="center"/>
          </w:tcPr>
          <w:p w14:paraId="46649A46">
            <w:pPr>
              <w:spacing w:line="240" w:lineRule="auto"/>
              <w:jc w:val="center"/>
              <w:rPr>
                <w:rFonts w:ascii="宋体" w:hAnsi="宋体"/>
                <w:kern w:val="44"/>
                <w:sz w:val="18"/>
                <w:szCs w:val="26"/>
              </w:rPr>
            </w:pPr>
            <w:r>
              <w:rPr>
                <w:rFonts w:ascii="宋体" w:hAnsi="宋体"/>
                <w:kern w:val="44"/>
                <w:sz w:val="18"/>
                <w:szCs w:val="26"/>
              </w:rPr>
              <w:t>00000X</w:t>
            </w:r>
            <w:r>
              <w:rPr>
                <w:rFonts w:ascii="宋体" w:hAnsi="宋体"/>
                <w:kern w:val="44"/>
                <w:sz w:val="18"/>
                <w:szCs w:val="26"/>
                <w:vertAlign w:val="subscript"/>
              </w:rPr>
              <w:t>8</w:t>
            </w:r>
            <w:r>
              <w:rPr>
                <w:rFonts w:ascii="宋体" w:hAnsi="宋体"/>
                <w:kern w:val="44"/>
                <w:sz w:val="18"/>
                <w:szCs w:val="26"/>
              </w:rPr>
              <w:t>X</w:t>
            </w:r>
            <w:r>
              <w:rPr>
                <w:rFonts w:ascii="宋体" w:hAnsi="宋体"/>
                <w:kern w:val="44"/>
                <w:sz w:val="18"/>
                <w:szCs w:val="26"/>
                <w:vertAlign w:val="subscript"/>
              </w:rPr>
              <w:t>7</w:t>
            </w:r>
            <w:r>
              <w:rPr>
                <w:rFonts w:ascii="宋体" w:hAnsi="宋体"/>
                <w:kern w:val="44"/>
                <w:sz w:val="18"/>
                <w:szCs w:val="26"/>
              </w:rPr>
              <w:t>X</w:t>
            </w:r>
            <w:r>
              <w:rPr>
                <w:rFonts w:ascii="宋体" w:hAnsi="宋体"/>
                <w:kern w:val="44"/>
                <w:sz w:val="18"/>
                <w:szCs w:val="26"/>
                <w:vertAlign w:val="subscript"/>
              </w:rPr>
              <w:t>6</w:t>
            </w:r>
            <w:r>
              <w:rPr>
                <w:rFonts w:ascii="宋体" w:hAnsi="宋体"/>
                <w:kern w:val="44"/>
                <w:sz w:val="18"/>
                <w:szCs w:val="26"/>
              </w:rPr>
              <w:t>X</w:t>
            </w:r>
            <w:r>
              <w:rPr>
                <w:rFonts w:ascii="宋体" w:hAnsi="宋体"/>
                <w:kern w:val="44"/>
                <w:sz w:val="18"/>
                <w:szCs w:val="26"/>
                <w:vertAlign w:val="subscript"/>
              </w:rPr>
              <w:t>5</w:t>
            </w:r>
            <w:r>
              <w:rPr>
                <w:rFonts w:ascii="宋体" w:hAnsi="宋体"/>
                <w:kern w:val="44"/>
                <w:sz w:val="18"/>
                <w:szCs w:val="26"/>
              </w:rPr>
              <w:t>X</w:t>
            </w:r>
            <w:r>
              <w:rPr>
                <w:rFonts w:ascii="宋体" w:hAnsi="宋体"/>
                <w:kern w:val="44"/>
                <w:sz w:val="18"/>
                <w:szCs w:val="26"/>
                <w:vertAlign w:val="subscript"/>
              </w:rPr>
              <w:t>4</w:t>
            </w:r>
            <w:r>
              <w:rPr>
                <w:rFonts w:ascii="宋体" w:hAnsi="宋体"/>
                <w:kern w:val="44"/>
                <w:sz w:val="18"/>
                <w:szCs w:val="26"/>
              </w:rPr>
              <w:t>X</w:t>
            </w:r>
            <w:r>
              <w:rPr>
                <w:rFonts w:ascii="宋体" w:hAnsi="宋体"/>
                <w:kern w:val="44"/>
                <w:sz w:val="18"/>
                <w:szCs w:val="26"/>
                <w:vertAlign w:val="subscript"/>
              </w:rPr>
              <w:t>3</w:t>
            </w:r>
            <w:r>
              <w:rPr>
                <w:rFonts w:ascii="宋体" w:hAnsi="宋体"/>
                <w:kern w:val="44"/>
                <w:sz w:val="18"/>
                <w:szCs w:val="26"/>
              </w:rPr>
              <w:t>X</w:t>
            </w:r>
            <w:r>
              <w:rPr>
                <w:rFonts w:ascii="宋体" w:hAnsi="宋体"/>
                <w:kern w:val="44"/>
                <w:sz w:val="18"/>
                <w:szCs w:val="26"/>
                <w:vertAlign w:val="subscript"/>
              </w:rPr>
              <w:t>2</w:t>
            </w:r>
          </w:p>
        </w:tc>
        <w:tc>
          <w:tcPr>
            <w:tcW w:w="1417" w:type="dxa"/>
            <w:vAlign w:val="center"/>
          </w:tcPr>
          <w:p w14:paraId="7C4C5A58">
            <w:pPr>
              <w:spacing w:line="240" w:lineRule="auto"/>
              <w:jc w:val="center"/>
              <w:rPr>
                <w:rFonts w:ascii="宋体" w:hAnsi="宋体"/>
                <w:kern w:val="44"/>
                <w:sz w:val="18"/>
                <w:szCs w:val="26"/>
              </w:rPr>
            </w:pPr>
            <w:r>
              <w:rPr>
                <w:rFonts w:ascii="宋体" w:hAnsi="宋体"/>
                <w:kern w:val="44"/>
                <w:sz w:val="18"/>
                <w:szCs w:val="26"/>
              </w:rPr>
              <w:t>X</w:t>
            </w:r>
            <w:r>
              <w:rPr>
                <w:rFonts w:ascii="宋体" w:hAnsi="宋体"/>
                <w:kern w:val="44"/>
                <w:sz w:val="18"/>
                <w:szCs w:val="26"/>
                <w:vertAlign w:val="subscript"/>
              </w:rPr>
              <w:t>1</w:t>
            </w:r>
          </w:p>
        </w:tc>
      </w:tr>
      <w:tr w14:paraId="5E0A87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23" w:hRule="atLeast"/>
        </w:trPr>
        <w:tc>
          <w:tcPr>
            <w:tcW w:w="9776" w:type="dxa"/>
            <w:gridSpan w:val="4"/>
            <w:tcBorders>
              <w:top w:val="single" w:color="auto" w:sz="8" w:space="0"/>
              <w:bottom w:val="single" w:color="auto" w:sz="8" w:space="0"/>
            </w:tcBorders>
            <w:shd w:val="clear" w:color="auto" w:fill="auto"/>
            <w:vAlign w:val="center"/>
          </w:tcPr>
          <w:p w14:paraId="0C3764D9">
            <w:pPr>
              <w:pStyle w:val="104"/>
              <w:numPr>
                <w:ilvl w:val="0"/>
                <w:numId w:val="0"/>
              </w:numPr>
              <w:ind w:firstLine="450" w:firstLineChars="250"/>
            </w:pPr>
            <w:r>
              <w:rPr>
                <w:kern w:val="44"/>
                <w:szCs w:val="26"/>
                <w:vertAlign w:val="superscript"/>
              </w:rPr>
              <w:t>a</w:t>
            </w:r>
            <w:r>
              <w:rPr>
                <w:rFonts w:hint="eastAsia"/>
              </w:rPr>
              <w:t>指示符取值范围</w:t>
            </w:r>
            <w:r>
              <w:t>1，2，…，8，用于区分不同的包装等级。</w:t>
            </w:r>
          </w:p>
          <w:p w14:paraId="68D2DD9A">
            <w:pPr>
              <w:pStyle w:val="104"/>
              <w:numPr>
                <w:ilvl w:val="0"/>
                <w:numId w:val="0"/>
              </w:numPr>
              <w:ind w:firstLine="450" w:firstLineChars="250"/>
            </w:pPr>
            <w:r>
              <w:rPr>
                <w:kern w:val="44"/>
                <w:szCs w:val="26"/>
                <w:vertAlign w:val="superscript"/>
              </w:rPr>
              <w:t>b</w:t>
            </w:r>
            <w:r>
              <w:rPr>
                <w:rFonts w:hint="eastAsia"/>
              </w:rPr>
              <w:t>将</w:t>
            </w:r>
            <w:r>
              <w:t>GTIN-13或GTIN-8最后一位校验码去掉，在代码开头补充适量的0至12位。</w:t>
            </w:r>
          </w:p>
          <w:p w14:paraId="5B9938DB">
            <w:pPr>
              <w:pStyle w:val="104"/>
              <w:numPr>
                <w:ilvl w:val="0"/>
                <w:numId w:val="0"/>
              </w:numPr>
              <w:ind w:left="539" w:hanging="119"/>
            </w:pPr>
            <w:r>
              <w:rPr>
                <w:kern w:val="44"/>
                <w:szCs w:val="26"/>
                <w:vertAlign w:val="superscript"/>
              </w:rPr>
              <w:t>c</w:t>
            </w:r>
            <w:r>
              <w:rPr>
                <w:rFonts w:hint="eastAsia"/>
              </w:rPr>
              <w:t>校验码用于检验整个编码的正误，其计算方法宜根据</w:t>
            </w:r>
            <w:r>
              <w:t>GB/T 16830的规定进行计算。</w:t>
            </w:r>
          </w:p>
        </w:tc>
      </w:tr>
    </w:tbl>
    <w:p w14:paraId="485EBF70">
      <w:pPr>
        <w:pStyle w:val="168"/>
      </w:pPr>
      <w:r>
        <w:rPr>
          <w:rFonts w:hint="eastAsia"/>
        </w:rPr>
        <w:t>由多个不同零售商品组成的标准的组合包装商品，其编码可采用与其所含各零售商品均不相同的GTIN-13结构</w:t>
      </w:r>
      <w:r>
        <w:t>。</w:t>
      </w:r>
    </w:p>
    <w:p w14:paraId="72E8BD28">
      <w:pPr>
        <w:pStyle w:val="108"/>
        <w:spacing w:before="120" w:after="120"/>
      </w:pPr>
      <w:bookmarkStart w:id="107" w:name="_Toc217395887"/>
      <w:r>
        <w:rPr>
          <w:rFonts w:hint="eastAsia"/>
        </w:rPr>
        <w:t>变量MRO工业品</w:t>
      </w:r>
      <w:bookmarkEnd w:id="107"/>
    </w:p>
    <w:p w14:paraId="53E570B7">
      <w:pPr>
        <w:pStyle w:val="168"/>
      </w:pPr>
      <w:r>
        <w:rPr>
          <w:rFonts w:hint="eastAsia"/>
        </w:rPr>
        <w:t>变量MRO工业品的编码采用14位数字代码（GTIN）附加变量标识代码的结构，见表</w:t>
      </w:r>
      <w:r>
        <w:t>2</w:t>
      </w:r>
      <w:r>
        <w:rPr>
          <w:rFonts w:hint="eastAsia"/>
        </w:rPr>
        <w:t>。为了使变量商品的信息标识完整，表示变化属性的变量标识代码是十分必要的。</w:t>
      </w:r>
    </w:p>
    <w:p w14:paraId="0897CB4F">
      <w:pPr>
        <w:pStyle w:val="115"/>
        <w:spacing w:before="120" w:after="120"/>
      </w:pPr>
      <w:r>
        <w:rPr>
          <w:rFonts w:hint="eastAsia"/>
        </w:rPr>
        <w:t>变量非零售商品代码结构</w:t>
      </w:r>
    </w:p>
    <w:tbl>
      <w:tblPr>
        <w:tblStyle w:val="29"/>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212"/>
        <w:gridCol w:w="3941"/>
        <w:gridCol w:w="1212"/>
        <w:gridCol w:w="2898"/>
      </w:tblGrid>
      <w:tr w14:paraId="615C28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1212" w:type="dxa"/>
            <w:tcBorders>
              <w:top w:val="single" w:color="auto" w:sz="8" w:space="0"/>
              <w:bottom w:val="single" w:color="auto" w:sz="8" w:space="0"/>
            </w:tcBorders>
            <w:shd w:val="clear" w:color="auto" w:fill="D8D8D8" w:themeFill="background1" w:themeFillShade="D9"/>
            <w:vAlign w:val="center"/>
          </w:tcPr>
          <w:p w14:paraId="2976D6EE">
            <w:pPr>
              <w:spacing w:line="240" w:lineRule="auto"/>
              <w:jc w:val="center"/>
              <w:rPr>
                <w:rFonts w:ascii="宋体" w:hAnsi="宋体"/>
                <w:kern w:val="44"/>
                <w:sz w:val="18"/>
                <w:szCs w:val="26"/>
              </w:rPr>
            </w:pPr>
            <w:r>
              <w:rPr>
                <w:rFonts w:hint="eastAsia" w:ascii="宋体" w:hAnsi="宋体"/>
                <w:kern w:val="44"/>
                <w:sz w:val="18"/>
                <w:szCs w:val="26"/>
              </w:rPr>
              <w:t>指示符</w:t>
            </w:r>
            <w:r>
              <w:rPr>
                <w:rFonts w:ascii="宋体" w:hAnsi="宋体"/>
                <w:kern w:val="44"/>
                <w:sz w:val="18"/>
                <w:szCs w:val="26"/>
                <w:vertAlign w:val="superscript"/>
              </w:rPr>
              <w:t>a</w:t>
            </w:r>
          </w:p>
        </w:tc>
        <w:tc>
          <w:tcPr>
            <w:tcW w:w="3941" w:type="dxa"/>
            <w:tcBorders>
              <w:top w:val="single" w:color="auto" w:sz="8" w:space="0"/>
              <w:bottom w:val="single" w:color="auto" w:sz="8" w:space="0"/>
            </w:tcBorders>
            <w:shd w:val="clear" w:color="auto" w:fill="D8D8D8" w:themeFill="background1" w:themeFillShade="D9"/>
            <w:vAlign w:val="center"/>
          </w:tcPr>
          <w:p w14:paraId="2DBE95BE">
            <w:pPr>
              <w:spacing w:line="240" w:lineRule="auto"/>
              <w:jc w:val="center"/>
              <w:rPr>
                <w:rFonts w:ascii="宋体" w:hAnsi="宋体"/>
                <w:kern w:val="44"/>
                <w:sz w:val="18"/>
                <w:szCs w:val="26"/>
              </w:rPr>
            </w:pPr>
            <w:r>
              <w:rPr>
                <w:rFonts w:hint="eastAsia" w:ascii="宋体" w:hAnsi="宋体"/>
                <w:kern w:val="44"/>
                <w:sz w:val="18"/>
                <w:szCs w:val="26"/>
              </w:rPr>
              <w:t>厂商识别代码</w:t>
            </w:r>
            <w:r>
              <w:rPr>
                <w:rFonts w:ascii="宋体" w:hAnsi="宋体"/>
                <w:kern w:val="44"/>
                <w:sz w:val="18"/>
                <w:szCs w:val="26"/>
              </w:rPr>
              <w:t>+商品项目代码</w:t>
            </w:r>
          </w:p>
        </w:tc>
        <w:tc>
          <w:tcPr>
            <w:tcW w:w="1212" w:type="dxa"/>
            <w:tcBorders>
              <w:top w:val="single" w:color="auto" w:sz="8" w:space="0"/>
              <w:bottom w:val="single" w:color="auto" w:sz="8" w:space="0"/>
            </w:tcBorders>
            <w:shd w:val="clear" w:color="auto" w:fill="D8D8D8" w:themeFill="background1" w:themeFillShade="D9"/>
            <w:vAlign w:val="center"/>
          </w:tcPr>
          <w:p w14:paraId="5ED262C0">
            <w:pPr>
              <w:spacing w:line="240" w:lineRule="auto"/>
              <w:jc w:val="center"/>
              <w:rPr>
                <w:rFonts w:ascii="宋体" w:hAnsi="宋体"/>
                <w:kern w:val="44"/>
                <w:sz w:val="18"/>
                <w:szCs w:val="26"/>
              </w:rPr>
            </w:pPr>
            <w:r>
              <w:rPr>
                <w:rFonts w:hint="eastAsia" w:ascii="宋体" w:hAnsi="宋体"/>
                <w:kern w:val="44"/>
                <w:sz w:val="18"/>
                <w:szCs w:val="26"/>
              </w:rPr>
              <w:t>校验码</w:t>
            </w:r>
          </w:p>
        </w:tc>
        <w:tc>
          <w:tcPr>
            <w:tcW w:w="2898" w:type="dxa"/>
            <w:tcBorders>
              <w:top w:val="single" w:color="auto" w:sz="8" w:space="0"/>
              <w:bottom w:val="single" w:color="auto" w:sz="8" w:space="0"/>
            </w:tcBorders>
            <w:shd w:val="clear" w:color="auto" w:fill="D8D8D8" w:themeFill="background1" w:themeFillShade="D9"/>
            <w:vAlign w:val="center"/>
          </w:tcPr>
          <w:p w14:paraId="074E81FC">
            <w:pPr>
              <w:spacing w:line="240" w:lineRule="auto"/>
              <w:jc w:val="center"/>
              <w:rPr>
                <w:rFonts w:ascii="宋体" w:hAnsi="宋体"/>
                <w:kern w:val="44"/>
                <w:sz w:val="18"/>
                <w:szCs w:val="26"/>
              </w:rPr>
            </w:pPr>
            <w:r>
              <w:rPr>
                <w:rFonts w:hint="eastAsia" w:ascii="宋体" w:hAnsi="宋体"/>
                <w:kern w:val="44"/>
                <w:sz w:val="18"/>
                <w:szCs w:val="26"/>
              </w:rPr>
              <w:t>变量标识代码</w:t>
            </w:r>
            <w:r>
              <w:rPr>
                <w:rFonts w:ascii="宋体" w:hAnsi="宋体"/>
                <w:kern w:val="44"/>
                <w:sz w:val="18"/>
                <w:szCs w:val="26"/>
                <w:vertAlign w:val="superscript"/>
              </w:rPr>
              <w:t>b</w:t>
            </w:r>
          </w:p>
        </w:tc>
      </w:tr>
      <w:tr w14:paraId="50EFD3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1212" w:type="dxa"/>
            <w:tcBorders>
              <w:top w:val="single" w:color="auto" w:sz="8" w:space="0"/>
            </w:tcBorders>
            <w:vAlign w:val="center"/>
          </w:tcPr>
          <w:p w14:paraId="083F90CA">
            <w:pPr>
              <w:spacing w:line="240" w:lineRule="auto"/>
              <w:jc w:val="center"/>
              <w:rPr>
                <w:rFonts w:ascii="宋体" w:hAnsi="宋体"/>
                <w:kern w:val="44"/>
                <w:sz w:val="18"/>
                <w:szCs w:val="26"/>
              </w:rPr>
            </w:pPr>
            <w:r>
              <w:rPr>
                <w:rFonts w:ascii="宋体" w:hAnsi="宋体"/>
                <w:kern w:val="44"/>
                <w:sz w:val="18"/>
                <w:szCs w:val="26"/>
              </w:rPr>
              <w:t>X</w:t>
            </w:r>
            <w:r>
              <w:rPr>
                <w:rFonts w:ascii="宋体" w:hAnsi="宋体"/>
                <w:kern w:val="44"/>
                <w:sz w:val="18"/>
                <w:szCs w:val="26"/>
                <w:vertAlign w:val="subscript"/>
              </w:rPr>
              <w:t>14</w:t>
            </w:r>
          </w:p>
        </w:tc>
        <w:tc>
          <w:tcPr>
            <w:tcW w:w="3941" w:type="dxa"/>
            <w:tcBorders>
              <w:top w:val="single" w:color="auto" w:sz="8" w:space="0"/>
            </w:tcBorders>
            <w:vAlign w:val="center"/>
          </w:tcPr>
          <w:p w14:paraId="7B4921F5">
            <w:pPr>
              <w:spacing w:line="240" w:lineRule="auto"/>
              <w:jc w:val="center"/>
              <w:rPr>
                <w:rFonts w:ascii="宋体" w:hAnsi="宋体"/>
                <w:kern w:val="44"/>
                <w:sz w:val="18"/>
                <w:szCs w:val="26"/>
              </w:rPr>
            </w:pPr>
            <w:r>
              <w:rPr>
                <w:rFonts w:ascii="宋体" w:hAnsi="宋体"/>
                <w:kern w:val="44"/>
                <w:sz w:val="18"/>
                <w:szCs w:val="26"/>
              </w:rPr>
              <w:t>X</w:t>
            </w:r>
            <w:r>
              <w:rPr>
                <w:rFonts w:ascii="宋体" w:hAnsi="宋体"/>
                <w:kern w:val="44"/>
                <w:sz w:val="18"/>
                <w:szCs w:val="26"/>
                <w:vertAlign w:val="subscript"/>
              </w:rPr>
              <w:t>13</w:t>
            </w:r>
            <w:r>
              <w:rPr>
                <w:rFonts w:ascii="宋体" w:hAnsi="宋体"/>
                <w:kern w:val="44"/>
                <w:sz w:val="18"/>
                <w:szCs w:val="26"/>
              </w:rPr>
              <w:t>X</w:t>
            </w:r>
            <w:r>
              <w:rPr>
                <w:rFonts w:ascii="宋体" w:hAnsi="宋体"/>
                <w:kern w:val="44"/>
                <w:sz w:val="18"/>
                <w:szCs w:val="26"/>
                <w:vertAlign w:val="subscript"/>
              </w:rPr>
              <w:t>12</w:t>
            </w:r>
            <w:r>
              <w:rPr>
                <w:rFonts w:ascii="宋体" w:hAnsi="宋体"/>
                <w:kern w:val="44"/>
                <w:sz w:val="18"/>
                <w:szCs w:val="26"/>
              </w:rPr>
              <w:t>X</w:t>
            </w:r>
            <w:r>
              <w:rPr>
                <w:rFonts w:ascii="宋体" w:hAnsi="宋体"/>
                <w:kern w:val="44"/>
                <w:sz w:val="18"/>
                <w:szCs w:val="26"/>
                <w:vertAlign w:val="subscript"/>
              </w:rPr>
              <w:t>11</w:t>
            </w:r>
            <w:r>
              <w:rPr>
                <w:rFonts w:ascii="宋体" w:hAnsi="宋体"/>
                <w:kern w:val="44"/>
                <w:sz w:val="18"/>
                <w:szCs w:val="26"/>
              </w:rPr>
              <w:t>X</w:t>
            </w:r>
            <w:r>
              <w:rPr>
                <w:rFonts w:ascii="宋体" w:hAnsi="宋体"/>
                <w:kern w:val="44"/>
                <w:sz w:val="18"/>
                <w:szCs w:val="26"/>
                <w:vertAlign w:val="subscript"/>
              </w:rPr>
              <w:t>10</w:t>
            </w:r>
            <w:r>
              <w:rPr>
                <w:rFonts w:ascii="宋体" w:hAnsi="宋体"/>
                <w:kern w:val="44"/>
                <w:sz w:val="18"/>
                <w:szCs w:val="26"/>
              </w:rPr>
              <w:t>X</w:t>
            </w:r>
            <w:r>
              <w:rPr>
                <w:rFonts w:ascii="宋体" w:hAnsi="宋体"/>
                <w:kern w:val="44"/>
                <w:sz w:val="18"/>
                <w:szCs w:val="26"/>
                <w:vertAlign w:val="subscript"/>
              </w:rPr>
              <w:t>9</w:t>
            </w:r>
            <w:r>
              <w:rPr>
                <w:rFonts w:ascii="宋体" w:hAnsi="宋体"/>
                <w:kern w:val="44"/>
                <w:sz w:val="18"/>
                <w:szCs w:val="26"/>
              </w:rPr>
              <w:t>X</w:t>
            </w:r>
            <w:r>
              <w:rPr>
                <w:rFonts w:ascii="宋体" w:hAnsi="宋体"/>
                <w:kern w:val="44"/>
                <w:sz w:val="18"/>
                <w:szCs w:val="26"/>
                <w:vertAlign w:val="subscript"/>
              </w:rPr>
              <w:t>8</w:t>
            </w:r>
            <w:r>
              <w:rPr>
                <w:rFonts w:ascii="宋体" w:hAnsi="宋体"/>
                <w:kern w:val="44"/>
                <w:sz w:val="18"/>
                <w:szCs w:val="26"/>
              </w:rPr>
              <w:t>X</w:t>
            </w:r>
            <w:r>
              <w:rPr>
                <w:rFonts w:ascii="宋体" w:hAnsi="宋体"/>
                <w:kern w:val="44"/>
                <w:sz w:val="18"/>
                <w:szCs w:val="26"/>
                <w:vertAlign w:val="subscript"/>
              </w:rPr>
              <w:t>7</w:t>
            </w:r>
            <w:r>
              <w:rPr>
                <w:rFonts w:ascii="宋体" w:hAnsi="宋体"/>
                <w:kern w:val="44"/>
                <w:sz w:val="18"/>
                <w:szCs w:val="26"/>
              </w:rPr>
              <w:t>X</w:t>
            </w:r>
            <w:r>
              <w:rPr>
                <w:rFonts w:ascii="宋体" w:hAnsi="宋体"/>
                <w:kern w:val="44"/>
                <w:sz w:val="18"/>
                <w:szCs w:val="26"/>
                <w:vertAlign w:val="subscript"/>
              </w:rPr>
              <w:t>6</w:t>
            </w:r>
            <w:r>
              <w:rPr>
                <w:rFonts w:ascii="宋体" w:hAnsi="宋体"/>
                <w:kern w:val="44"/>
                <w:sz w:val="18"/>
                <w:szCs w:val="26"/>
              </w:rPr>
              <w:t>X</w:t>
            </w:r>
            <w:r>
              <w:rPr>
                <w:rFonts w:ascii="宋体" w:hAnsi="宋体"/>
                <w:kern w:val="44"/>
                <w:sz w:val="18"/>
                <w:szCs w:val="26"/>
                <w:vertAlign w:val="subscript"/>
              </w:rPr>
              <w:t>5</w:t>
            </w:r>
            <w:r>
              <w:rPr>
                <w:rFonts w:ascii="宋体" w:hAnsi="宋体"/>
                <w:kern w:val="44"/>
                <w:sz w:val="18"/>
                <w:szCs w:val="26"/>
              </w:rPr>
              <w:t>X</w:t>
            </w:r>
            <w:r>
              <w:rPr>
                <w:rFonts w:ascii="宋体" w:hAnsi="宋体"/>
                <w:kern w:val="44"/>
                <w:sz w:val="18"/>
                <w:szCs w:val="26"/>
                <w:vertAlign w:val="subscript"/>
              </w:rPr>
              <w:t>4</w:t>
            </w:r>
            <w:r>
              <w:rPr>
                <w:rFonts w:ascii="宋体" w:hAnsi="宋体"/>
                <w:kern w:val="44"/>
                <w:sz w:val="18"/>
                <w:szCs w:val="26"/>
              </w:rPr>
              <w:t>X</w:t>
            </w:r>
            <w:r>
              <w:rPr>
                <w:rFonts w:ascii="宋体" w:hAnsi="宋体"/>
                <w:kern w:val="44"/>
                <w:sz w:val="18"/>
                <w:szCs w:val="26"/>
                <w:vertAlign w:val="subscript"/>
              </w:rPr>
              <w:t>3</w:t>
            </w:r>
            <w:r>
              <w:rPr>
                <w:rFonts w:ascii="宋体" w:hAnsi="宋体"/>
                <w:kern w:val="44"/>
                <w:sz w:val="18"/>
                <w:szCs w:val="26"/>
              </w:rPr>
              <w:t>X</w:t>
            </w:r>
            <w:r>
              <w:rPr>
                <w:rFonts w:ascii="宋体" w:hAnsi="宋体"/>
                <w:kern w:val="44"/>
                <w:sz w:val="18"/>
                <w:szCs w:val="26"/>
                <w:vertAlign w:val="subscript"/>
              </w:rPr>
              <w:t>2</w:t>
            </w:r>
          </w:p>
        </w:tc>
        <w:tc>
          <w:tcPr>
            <w:tcW w:w="1212" w:type="dxa"/>
            <w:tcBorders>
              <w:top w:val="single" w:color="auto" w:sz="8" w:space="0"/>
            </w:tcBorders>
            <w:vAlign w:val="center"/>
          </w:tcPr>
          <w:p w14:paraId="53838AC0">
            <w:pPr>
              <w:spacing w:line="240" w:lineRule="auto"/>
              <w:jc w:val="center"/>
              <w:rPr>
                <w:rFonts w:ascii="宋体" w:hAnsi="宋体"/>
                <w:kern w:val="44"/>
                <w:sz w:val="18"/>
                <w:szCs w:val="26"/>
              </w:rPr>
            </w:pPr>
            <w:r>
              <w:rPr>
                <w:rFonts w:ascii="宋体" w:hAnsi="宋体"/>
                <w:kern w:val="44"/>
                <w:sz w:val="18"/>
                <w:szCs w:val="26"/>
              </w:rPr>
              <w:t>X</w:t>
            </w:r>
            <w:r>
              <w:rPr>
                <w:rFonts w:ascii="宋体" w:hAnsi="宋体"/>
                <w:kern w:val="44"/>
                <w:sz w:val="18"/>
                <w:szCs w:val="26"/>
                <w:vertAlign w:val="subscript"/>
              </w:rPr>
              <w:t>1</w:t>
            </w:r>
          </w:p>
        </w:tc>
        <w:tc>
          <w:tcPr>
            <w:tcW w:w="2898" w:type="dxa"/>
            <w:tcBorders>
              <w:top w:val="single" w:color="auto" w:sz="8" w:space="0"/>
            </w:tcBorders>
            <w:vAlign w:val="center"/>
          </w:tcPr>
          <w:p w14:paraId="1B1041C5">
            <w:pPr>
              <w:spacing w:line="240" w:lineRule="auto"/>
              <w:jc w:val="center"/>
              <w:rPr>
                <w:rFonts w:ascii="宋体" w:hAnsi="宋体"/>
                <w:kern w:val="44"/>
                <w:sz w:val="18"/>
                <w:szCs w:val="26"/>
              </w:rPr>
            </w:pPr>
            <w:r>
              <w:rPr>
                <w:rFonts w:ascii="宋体" w:hAnsi="宋体"/>
                <w:kern w:val="44"/>
                <w:sz w:val="18"/>
                <w:szCs w:val="26"/>
              </w:rPr>
              <w:t>AI+</w:t>
            </w:r>
            <w:r>
              <w:rPr>
                <w:rFonts w:hint="eastAsia" w:ascii="宋体" w:hAnsi="宋体"/>
                <w:kern w:val="44"/>
                <w:sz w:val="18"/>
                <w:szCs w:val="26"/>
              </w:rPr>
              <w:t>A</w:t>
            </w:r>
            <w:r>
              <w:rPr>
                <w:rFonts w:ascii="宋体" w:hAnsi="宋体"/>
                <w:kern w:val="44"/>
                <w:sz w:val="18"/>
                <w:szCs w:val="26"/>
              </w:rPr>
              <w:t>I</w:t>
            </w:r>
            <w:r>
              <w:rPr>
                <w:rFonts w:hint="eastAsia" w:ascii="宋体" w:hAnsi="宋体"/>
                <w:kern w:val="44"/>
                <w:sz w:val="18"/>
                <w:szCs w:val="26"/>
              </w:rPr>
              <w:t>数据</w:t>
            </w:r>
            <w:r>
              <w:rPr>
                <w:rFonts w:ascii="宋体" w:hAnsi="宋体"/>
                <w:kern w:val="44"/>
                <w:sz w:val="18"/>
                <w:szCs w:val="26"/>
              </w:rPr>
              <w:t>字段</w:t>
            </w:r>
          </w:p>
        </w:tc>
      </w:tr>
      <w:tr w14:paraId="3877E6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9263" w:type="dxa"/>
            <w:gridSpan w:val="4"/>
            <w:tcBorders>
              <w:top w:val="single" w:color="auto" w:sz="8" w:space="0"/>
              <w:bottom w:val="single" w:color="auto" w:sz="8" w:space="0"/>
            </w:tcBorders>
            <w:shd w:val="clear" w:color="auto" w:fill="auto"/>
            <w:vAlign w:val="center"/>
          </w:tcPr>
          <w:p w14:paraId="5FF5D002">
            <w:pPr>
              <w:pStyle w:val="104"/>
              <w:numPr>
                <w:ilvl w:val="0"/>
                <w:numId w:val="32"/>
              </w:numPr>
            </w:pPr>
            <w:r>
              <w:rPr>
                <w:rFonts w:hint="eastAsia"/>
              </w:rPr>
              <w:t>指示符</w:t>
            </w:r>
            <w:r>
              <w:t>X</w:t>
            </w:r>
            <w:r>
              <w:rPr>
                <w:vertAlign w:val="subscript"/>
              </w:rPr>
              <w:t>14</w:t>
            </w:r>
            <w:r>
              <w:t>取值9，表示该商品为变量商品。</w:t>
            </w:r>
          </w:p>
          <w:p w14:paraId="6CEDD89C">
            <w:pPr>
              <w:pStyle w:val="104"/>
              <w:numPr>
                <w:ilvl w:val="0"/>
                <w:numId w:val="32"/>
              </w:numPr>
            </w:pPr>
            <w:r>
              <w:rPr>
                <w:rFonts w:hint="eastAsia"/>
              </w:rPr>
              <w:t>变量标识代码由应用标识符（</w:t>
            </w:r>
            <w:r>
              <w:t>AI）及相应数据字段构成，为可变长度。常用的变量标识代码有数量、净重、长度等，其编码所对应的AI及数据格式参见表5。</w:t>
            </w:r>
          </w:p>
        </w:tc>
      </w:tr>
    </w:tbl>
    <w:p w14:paraId="0073B777">
      <w:pPr>
        <w:pStyle w:val="168"/>
      </w:pPr>
      <w:r>
        <w:rPr>
          <w:rFonts w:hint="eastAsia"/>
        </w:rPr>
        <w:t>对变量商品的贸易计量的选择依赖于产品本身属性，可以是数量、重量、尺寸等，常用的贸易计量所对应的AI及数据格式见表</w:t>
      </w:r>
      <w:r>
        <w:t>3</w:t>
      </w:r>
      <w:r>
        <w:rPr>
          <w:rFonts w:hint="eastAsia"/>
        </w:rPr>
        <w:t>。其他贸易计量的AI具体使用方法参见GB/T</w:t>
      </w:r>
      <w:r>
        <w:t xml:space="preserve"> </w:t>
      </w:r>
      <w:r>
        <w:rPr>
          <w:rFonts w:hint="eastAsia"/>
        </w:rPr>
        <w:t>16986。</w:t>
      </w:r>
    </w:p>
    <w:p w14:paraId="3CB6BEA2">
      <w:pPr>
        <w:pStyle w:val="115"/>
        <w:spacing w:before="120" w:after="120"/>
      </w:pPr>
      <w:r>
        <w:rPr>
          <w:rFonts w:hint="eastAsia"/>
        </w:rPr>
        <w:t>常用的贸易计量的AI及数据格式</w:t>
      </w:r>
    </w:p>
    <w:tbl>
      <w:tblPr>
        <w:tblStyle w:val="29"/>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2356"/>
        <w:gridCol w:w="4054"/>
        <w:gridCol w:w="2912"/>
      </w:tblGrid>
      <w:tr w14:paraId="27B067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26" w:hRule="atLeast"/>
        </w:trPr>
        <w:tc>
          <w:tcPr>
            <w:tcW w:w="2356" w:type="dxa"/>
            <w:tcBorders>
              <w:top w:val="single" w:color="auto" w:sz="8" w:space="0"/>
              <w:bottom w:val="single" w:color="auto" w:sz="8" w:space="0"/>
            </w:tcBorders>
            <w:shd w:val="clear" w:color="auto" w:fill="D8D8D8" w:themeFill="background1" w:themeFillShade="D9"/>
            <w:vAlign w:val="center"/>
          </w:tcPr>
          <w:p w14:paraId="49BC2DA9">
            <w:pPr>
              <w:spacing w:line="240" w:lineRule="auto"/>
              <w:jc w:val="center"/>
              <w:rPr>
                <w:rFonts w:ascii="宋体" w:hAnsi="宋体"/>
                <w:kern w:val="44"/>
                <w:sz w:val="18"/>
                <w:szCs w:val="26"/>
              </w:rPr>
            </w:pPr>
            <w:r>
              <w:rPr>
                <w:rFonts w:hint="eastAsia" w:ascii="宋体" w:hAnsi="宋体"/>
                <w:kern w:val="44"/>
                <w:sz w:val="18"/>
                <w:szCs w:val="26"/>
              </w:rPr>
              <w:t>应用标识符（AI</w:t>
            </w:r>
            <w:r>
              <w:rPr>
                <w:rFonts w:ascii="宋体" w:hAnsi="宋体"/>
                <w:kern w:val="44"/>
                <w:sz w:val="18"/>
                <w:szCs w:val="26"/>
              </w:rPr>
              <w:t>）</w:t>
            </w:r>
          </w:p>
        </w:tc>
        <w:tc>
          <w:tcPr>
            <w:tcW w:w="4054" w:type="dxa"/>
            <w:tcBorders>
              <w:top w:val="single" w:color="auto" w:sz="8" w:space="0"/>
              <w:bottom w:val="single" w:color="auto" w:sz="8" w:space="0"/>
            </w:tcBorders>
            <w:shd w:val="clear" w:color="auto" w:fill="D8D8D8" w:themeFill="background1" w:themeFillShade="D9"/>
            <w:vAlign w:val="center"/>
          </w:tcPr>
          <w:p w14:paraId="533079F2">
            <w:pPr>
              <w:spacing w:line="240" w:lineRule="auto"/>
              <w:jc w:val="center"/>
              <w:rPr>
                <w:rFonts w:ascii="宋体" w:hAnsi="宋体"/>
                <w:kern w:val="44"/>
                <w:sz w:val="18"/>
                <w:szCs w:val="26"/>
              </w:rPr>
            </w:pPr>
            <w:r>
              <w:rPr>
                <w:rFonts w:hint="eastAsia" w:ascii="宋体" w:hAnsi="宋体"/>
                <w:kern w:val="44"/>
                <w:sz w:val="18"/>
                <w:szCs w:val="26"/>
              </w:rPr>
              <w:t>属性信息含义</w:t>
            </w:r>
          </w:p>
        </w:tc>
        <w:tc>
          <w:tcPr>
            <w:tcW w:w="2912" w:type="dxa"/>
            <w:tcBorders>
              <w:top w:val="single" w:color="auto" w:sz="8" w:space="0"/>
              <w:bottom w:val="single" w:color="auto" w:sz="8" w:space="0"/>
            </w:tcBorders>
            <w:shd w:val="clear" w:color="auto" w:fill="D8D8D8" w:themeFill="background1" w:themeFillShade="D9"/>
            <w:vAlign w:val="center"/>
          </w:tcPr>
          <w:p w14:paraId="05C312AF">
            <w:pPr>
              <w:spacing w:line="240" w:lineRule="auto"/>
              <w:jc w:val="center"/>
              <w:rPr>
                <w:rFonts w:ascii="宋体" w:hAnsi="宋体"/>
                <w:kern w:val="44"/>
                <w:sz w:val="18"/>
                <w:szCs w:val="26"/>
              </w:rPr>
            </w:pPr>
            <w:r>
              <w:rPr>
                <w:rFonts w:hint="eastAsia" w:ascii="宋体" w:hAnsi="宋体"/>
                <w:kern w:val="44"/>
                <w:sz w:val="18"/>
                <w:szCs w:val="26"/>
              </w:rPr>
              <w:t>数据格式</w:t>
            </w:r>
          </w:p>
        </w:tc>
      </w:tr>
      <w:tr w14:paraId="6C81CA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26" w:hRule="atLeast"/>
        </w:trPr>
        <w:tc>
          <w:tcPr>
            <w:tcW w:w="2356" w:type="dxa"/>
            <w:tcBorders>
              <w:top w:val="single" w:color="auto" w:sz="8" w:space="0"/>
            </w:tcBorders>
            <w:vAlign w:val="center"/>
          </w:tcPr>
          <w:p w14:paraId="358F5985">
            <w:pPr>
              <w:spacing w:line="240" w:lineRule="auto"/>
              <w:jc w:val="center"/>
              <w:rPr>
                <w:rFonts w:ascii="宋体" w:hAnsi="宋体"/>
                <w:kern w:val="44"/>
                <w:sz w:val="18"/>
                <w:szCs w:val="26"/>
              </w:rPr>
            </w:pPr>
            <w:r>
              <w:rPr>
                <w:rFonts w:hint="eastAsia" w:ascii="宋体" w:hAnsi="宋体"/>
                <w:kern w:val="44"/>
                <w:sz w:val="18"/>
                <w:szCs w:val="26"/>
              </w:rPr>
              <w:t>30</w:t>
            </w:r>
          </w:p>
        </w:tc>
        <w:tc>
          <w:tcPr>
            <w:tcW w:w="4054" w:type="dxa"/>
            <w:tcBorders>
              <w:top w:val="single" w:color="auto" w:sz="8" w:space="0"/>
            </w:tcBorders>
            <w:vAlign w:val="center"/>
          </w:tcPr>
          <w:p w14:paraId="576A112A">
            <w:pPr>
              <w:spacing w:line="240" w:lineRule="auto"/>
              <w:jc w:val="center"/>
              <w:rPr>
                <w:rFonts w:ascii="宋体" w:hAnsi="宋体"/>
                <w:kern w:val="44"/>
                <w:sz w:val="18"/>
                <w:szCs w:val="26"/>
              </w:rPr>
            </w:pPr>
            <w:r>
              <w:rPr>
                <w:rFonts w:hint="eastAsia" w:ascii="宋体" w:hAnsi="宋体"/>
                <w:kern w:val="44"/>
                <w:sz w:val="18"/>
                <w:szCs w:val="26"/>
              </w:rPr>
              <w:t>数量</w:t>
            </w:r>
          </w:p>
        </w:tc>
        <w:tc>
          <w:tcPr>
            <w:tcW w:w="2912" w:type="dxa"/>
            <w:tcBorders>
              <w:top w:val="single" w:color="auto" w:sz="8" w:space="0"/>
            </w:tcBorders>
            <w:vAlign w:val="center"/>
          </w:tcPr>
          <w:p w14:paraId="1B216DE6">
            <w:pPr>
              <w:spacing w:line="240" w:lineRule="auto"/>
              <w:jc w:val="center"/>
              <w:rPr>
                <w:rFonts w:ascii="宋体" w:hAnsi="宋体"/>
                <w:kern w:val="44"/>
                <w:sz w:val="18"/>
                <w:szCs w:val="26"/>
              </w:rPr>
            </w:pPr>
            <w:r>
              <w:rPr>
                <w:rFonts w:hint="eastAsia" w:ascii="宋体" w:hAnsi="宋体"/>
                <w:kern w:val="44"/>
                <w:sz w:val="18"/>
                <w:szCs w:val="26"/>
              </w:rPr>
              <w:t>N</w:t>
            </w:r>
            <w:r>
              <w:rPr>
                <w:rFonts w:ascii="宋体" w:hAnsi="宋体"/>
                <w:kern w:val="44"/>
                <w:sz w:val="18"/>
                <w:szCs w:val="26"/>
              </w:rPr>
              <w:t>..</w:t>
            </w:r>
            <w:r>
              <w:rPr>
                <w:rFonts w:hint="eastAsia" w:ascii="宋体" w:hAnsi="宋体"/>
                <w:kern w:val="44"/>
                <w:sz w:val="18"/>
                <w:szCs w:val="26"/>
              </w:rPr>
              <w:t>8</w:t>
            </w:r>
          </w:p>
        </w:tc>
      </w:tr>
      <w:tr w14:paraId="05B048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26" w:hRule="atLeast"/>
        </w:trPr>
        <w:tc>
          <w:tcPr>
            <w:tcW w:w="2356" w:type="dxa"/>
            <w:vAlign w:val="center"/>
          </w:tcPr>
          <w:p w14:paraId="4A4CECF0">
            <w:pPr>
              <w:spacing w:line="240" w:lineRule="auto"/>
              <w:jc w:val="center"/>
              <w:rPr>
                <w:rFonts w:ascii="宋体" w:hAnsi="宋体"/>
                <w:kern w:val="44"/>
                <w:sz w:val="18"/>
                <w:szCs w:val="26"/>
              </w:rPr>
            </w:pPr>
            <w:r>
              <w:rPr>
                <w:rFonts w:hint="eastAsia" w:ascii="宋体" w:hAnsi="宋体"/>
                <w:kern w:val="44"/>
                <w:sz w:val="18"/>
                <w:szCs w:val="26"/>
              </w:rPr>
              <w:t>310</w:t>
            </w:r>
            <w:r>
              <w:rPr>
                <w:rFonts w:ascii="宋体" w:hAnsi="宋体"/>
                <w:kern w:val="44"/>
                <w:sz w:val="18"/>
                <w:szCs w:val="26"/>
              </w:rPr>
              <w:t>n</w:t>
            </w:r>
          </w:p>
        </w:tc>
        <w:tc>
          <w:tcPr>
            <w:tcW w:w="4054" w:type="dxa"/>
            <w:vAlign w:val="center"/>
          </w:tcPr>
          <w:p w14:paraId="042A9952">
            <w:pPr>
              <w:spacing w:line="240" w:lineRule="auto"/>
              <w:jc w:val="center"/>
              <w:rPr>
                <w:rFonts w:ascii="宋体" w:hAnsi="宋体"/>
                <w:kern w:val="44"/>
                <w:sz w:val="18"/>
                <w:szCs w:val="26"/>
              </w:rPr>
            </w:pPr>
            <w:r>
              <w:rPr>
                <w:rFonts w:hint="eastAsia" w:ascii="宋体" w:hAnsi="宋体"/>
                <w:kern w:val="44"/>
                <w:sz w:val="18"/>
                <w:szCs w:val="26"/>
              </w:rPr>
              <w:t>净重</w:t>
            </w:r>
            <w:r>
              <w:rPr>
                <w:rFonts w:ascii="宋体" w:hAnsi="宋体"/>
                <w:kern w:val="44"/>
                <w:sz w:val="18"/>
                <w:szCs w:val="26"/>
              </w:rPr>
              <w:t>，千克</w:t>
            </w:r>
          </w:p>
        </w:tc>
        <w:tc>
          <w:tcPr>
            <w:tcW w:w="2912" w:type="dxa"/>
            <w:vAlign w:val="center"/>
          </w:tcPr>
          <w:p w14:paraId="71488201">
            <w:pPr>
              <w:spacing w:line="240" w:lineRule="auto"/>
              <w:jc w:val="center"/>
              <w:rPr>
                <w:rFonts w:ascii="宋体" w:hAnsi="宋体"/>
                <w:kern w:val="44"/>
                <w:sz w:val="18"/>
                <w:szCs w:val="26"/>
              </w:rPr>
            </w:pPr>
            <w:r>
              <w:rPr>
                <w:rFonts w:hint="eastAsia" w:ascii="宋体" w:hAnsi="宋体"/>
                <w:kern w:val="44"/>
                <w:sz w:val="18"/>
                <w:szCs w:val="26"/>
              </w:rPr>
              <w:t>N6</w:t>
            </w:r>
          </w:p>
        </w:tc>
      </w:tr>
    </w:tbl>
    <w:p w14:paraId="56D7D610">
      <w:pPr>
        <w:pStyle w:val="59"/>
        <w:ind w:firstLine="420"/>
      </w:pPr>
    </w:p>
    <w:p w14:paraId="313C1ACD">
      <w:pPr>
        <w:pStyle w:val="59"/>
        <w:spacing w:before="120" w:beforeLines="50" w:after="120" w:afterLines="50"/>
        <w:ind w:firstLine="0" w:firstLineChars="0"/>
        <w:jc w:val="center"/>
        <w:rPr>
          <w:rFonts w:ascii="黑体" w:hAnsi="黑体" w:eastAsia="黑体"/>
        </w:rPr>
      </w:pPr>
      <w:r>
        <w:rPr>
          <w:rFonts w:hint="eastAsia" w:ascii="黑体" w:hAnsi="黑体" w:eastAsia="黑体"/>
        </w:rPr>
        <w:t>表3  常用的贸易计量的AI及数据格式</w:t>
      </w:r>
      <w:r>
        <w:rPr>
          <w:rFonts w:hint="eastAsia" w:hAnsi="宋体"/>
        </w:rPr>
        <w:t>（续）</w:t>
      </w:r>
    </w:p>
    <w:tbl>
      <w:tblPr>
        <w:tblStyle w:val="29"/>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2356"/>
        <w:gridCol w:w="4054"/>
        <w:gridCol w:w="2912"/>
      </w:tblGrid>
      <w:tr w14:paraId="3823D7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26" w:hRule="atLeast"/>
        </w:trPr>
        <w:tc>
          <w:tcPr>
            <w:tcW w:w="2356" w:type="dxa"/>
            <w:tcBorders>
              <w:top w:val="single" w:color="auto" w:sz="8" w:space="0"/>
              <w:bottom w:val="single" w:color="auto" w:sz="8" w:space="0"/>
            </w:tcBorders>
            <w:shd w:val="clear" w:color="auto" w:fill="D8D8D8" w:themeFill="background1" w:themeFillShade="D9"/>
            <w:vAlign w:val="center"/>
          </w:tcPr>
          <w:p w14:paraId="69DCEF08">
            <w:pPr>
              <w:spacing w:line="240" w:lineRule="auto"/>
              <w:jc w:val="center"/>
              <w:rPr>
                <w:rFonts w:ascii="宋体" w:hAnsi="宋体"/>
                <w:kern w:val="44"/>
                <w:sz w:val="18"/>
                <w:szCs w:val="26"/>
              </w:rPr>
            </w:pPr>
            <w:r>
              <w:rPr>
                <w:rFonts w:hint="eastAsia" w:ascii="宋体" w:hAnsi="宋体"/>
                <w:kern w:val="44"/>
                <w:sz w:val="18"/>
                <w:szCs w:val="26"/>
              </w:rPr>
              <w:t>应用标识符（AI</w:t>
            </w:r>
            <w:r>
              <w:rPr>
                <w:rFonts w:ascii="宋体" w:hAnsi="宋体"/>
                <w:kern w:val="44"/>
                <w:sz w:val="18"/>
                <w:szCs w:val="26"/>
              </w:rPr>
              <w:t>）</w:t>
            </w:r>
          </w:p>
        </w:tc>
        <w:tc>
          <w:tcPr>
            <w:tcW w:w="4054" w:type="dxa"/>
            <w:tcBorders>
              <w:top w:val="single" w:color="auto" w:sz="8" w:space="0"/>
              <w:bottom w:val="single" w:color="auto" w:sz="8" w:space="0"/>
            </w:tcBorders>
            <w:shd w:val="clear" w:color="auto" w:fill="D8D8D8" w:themeFill="background1" w:themeFillShade="D9"/>
            <w:vAlign w:val="center"/>
          </w:tcPr>
          <w:p w14:paraId="5BCAE776">
            <w:pPr>
              <w:spacing w:line="240" w:lineRule="auto"/>
              <w:jc w:val="center"/>
              <w:rPr>
                <w:rFonts w:ascii="宋体" w:hAnsi="宋体"/>
                <w:kern w:val="44"/>
                <w:sz w:val="18"/>
                <w:szCs w:val="26"/>
              </w:rPr>
            </w:pPr>
            <w:r>
              <w:rPr>
                <w:rFonts w:hint="eastAsia" w:ascii="宋体" w:hAnsi="宋体"/>
                <w:kern w:val="44"/>
                <w:sz w:val="18"/>
                <w:szCs w:val="26"/>
              </w:rPr>
              <w:t>属性信息含义</w:t>
            </w:r>
          </w:p>
        </w:tc>
        <w:tc>
          <w:tcPr>
            <w:tcW w:w="2912" w:type="dxa"/>
            <w:tcBorders>
              <w:top w:val="single" w:color="auto" w:sz="8" w:space="0"/>
              <w:bottom w:val="single" w:color="auto" w:sz="8" w:space="0"/>
            </w:tcBorders>
            <w:shd w:val="clear" w:color="auto" w:fill="D8D8D8" w:themeFill="background1" w:themeFillShade="D9"/>
            <w:vAlign w:val="center"/>
          </w:tcPr>
          <w:p w14:paraId="121E86BE">
            <w:pPr>
              <w:spacing w:line="240" w:lineRule="auto"/>
              <w:jc w:val="center"/>
              <w:rPr>
                <w:rFonts w:ascii="宋体" w:hAnsi="宋体"/>
                <w:kern w:val="44"/>
                <w:sz w:val="18"/>
                <w:szCs w:val="26"/>
              </w:rPr>
            </w:pPr>
            <w:r>
              <w:rPr>
                <w:rFonts w:hint="eastAsia" w:ascii="宋体" w:hAnsi="宋体"/>
                <w:kern w:val="44"/>
                <w:sz w:val="18"/>
                <w:szCs w:val="26"/>
              </w:rPr>
              <w:t>数据格式</w:t>
            </w:r>
          </w:p>
        </w:tc>
      </w:tr>
      <w:tr w14:paraId="700261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26" w:hRule="atLeast"/>
        </w:trPr>
        <w:tc>
          <w:tcPr>
            <w:tcW w:w="2356" w:type="dxa"/>
            <w:vAlign w:val="center"/>
          </w:tcPr>
          <w:p w14:paraId="52121737">
            <w:pPr>
              <w:spacing w:line="240" w:lineRule="auto"/>
              <w:jc w:val="center"/>
              <w:rPr>
                <w:rFonts w:ascii="宋体" w:hAnsi="宋体"/>
                <w:kern w:val="44"/>
                <w:sz w:val="18"/>
                <w:szCs w:val="26"/>
              </w:rPr>
            </w:pPr>
            <w:r>
              <w:rPr>
                <w:rFonts w:hint="eastAsia" w:ascii="宋体" w:hAnsi="宋体"/>
                <w:kern w:val="44"/>
                <w:sz w:val="18"/>
                <w:szCs w:val="26"/>
              </w:rPr>
              <w:t>311</w:t>
            </w:r>
            <w:r>
              <w:rPr>
                <w:rFonts w:ascii="宋体" w:hAnsi="宋体"/>
                <w:kern w:val="44"/>
                <w:sz w:val="18"/>
                <w:szCs w:val="26"/>
              </w:rPr>
              <w:t>n</w:t>
            </w:r>
          </w:p>
        </w:tc>
        <w:tc>
          <w:tcPr>
            <w:tcW w:w="4054" w:type="dxa"/>
            <w:vAlign w:val="center"/>
          </w:tcPr>
          <w:p w14:paraId="1B1179A4">
            <w:pPr>
              <w:spacing w:line="240" w:lineRule="auto"/>
              <w:jc w:val="center"/>
              <w:rPr>
                <w:rFonts w:ascii="宋体" w:hAnsi="宋体"/>
                <w:kern w:val="44"/>
                <w:sz w:val="18"/>
                <w:szCs w:val="26"/>
              </w:rPr>
            </w:pPr>
            <w:r>
              <w:rPr>
                <w:rFonts w:hint="eastAsia" w:ascii="宋体" w:hAnsi="宋体"/>
                <w:kern w:val="44"/>
                <w:sz w:val="18"/>
                <w:szCs w:val="26"/>
              </w:rPr>
              <w:t>长度</w:t>
            </w:r>
            <w:r>
              <w:rPr>
                <w:rFonts w:ascii="宋体" w:hAnsi="宋体"/>
                <w:kern w:val="44"/>
                <w:sz w:val="18"/>
                <w:szCs w:val="26"/>
              </w:rPr>
              <w:t>，米</w:t>
            </w:r>
          </w:p>
        </w:tc>
        <w:tc>
          <w:tcPr>
            <w:tcW w:w="2912" w:type="dxa"/>
            <w:vAlign w:val="center"/>
          </w:tcPr>
          <w:p w14:paraId="08744832">
            <w:pPr>
              <w:spacing w:line="240" w:lineRule="auto"/>
              <w:jc w:val="center"/>
              <w:rPr>
                <w:rFonts w:ascii="宋体" w:hAnsi="宋体"/>
                <w:kern w:val="44"/>
                <w:sz w:val="18"/>
              </w:rPr>
            </w:pPr>
            <w:r>
              <w:rPr>
                <w:rFonts w:hint="eastAsia" w:ascii="宋体" w:hAnsi="宋体"/>
                <w:kern w:val="44"/>
                <w:sz w:val="18"/>
                <w:szCs w:val="26"/>
              </w:rPr>
              <w:t>N6</w:t>
            </w:r>
          </w:p>
        </w:tc>
      </w:tr>
      <w:tr w14:paraId="2B9296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26" w:hRule="atLeast"/>
        </w:trPr>
        <w:tc>
          <w:tcPr>
            <w:tcW w:w="2356" w:type="dxa"/>
            <w:vAlign w:val="center"/>
          </w:tcPr>
          <w:p w14:paraId="266F0C28">
            <w:pPr>
              <w:spacing w:line="240" w:lineRule="auto"/>
              <w:jc w:val="center"/>
              <w:rPr>
                <w:rFonts w:ascii="宋体" w:hAnsi="宋体"/>
                <w:kern w:val="44"/>
                <w:sz w:val="18"/>
                <w:szCs w:val="26"/>
              </w:rPr>
            </w:pPr>
            <w:r>
              <w:rPr>
                <w:rFonts w:hint="eastAsia" w:ascii="宋体" w:hAnsi="宋体"/>
                <w:kern w:val="44"/>
                <w:sz w:val="18"/>
                <w:szCs w:val="26"/>
              </w:rPr>
              <w:t>312</w:t>
            </w:r>
            <w:r>
              <w:rPr>
                <w:rFonts w:ascii="宋体" w:hAnsi="宋体"/>
                <w:kern w:val="44"/>
                <w:sz w:val="18"/>
                <w:szCs w:val="26"/>
              </w:rPr>
              <w:t>n</w:t>
            </w:r>
          </w:p>
        </w:tc>
        <w:tc>
          <w:tcPr>
            <w:tcW w:w="4054" w:type="dxa"/>
            <w:vAlign w:val="center"/>
          </w:tcPr>
          <w:p w14:paraId="0D3218CD">
            <w:pPr>
              <w:spacing w:line="240" w:lineRule="auto"/>
              <w:jc w:val="center"/>
              <w:rPr>
                <w:rFonts w:ascii="宋体" w:hAnsi="宋体"/>
                <w:kern w:val="44"/>
                <w:sz w:val="18"/>
                <w:szCs w:val="26"/>
              </w:rPr>
            </w:pPr>
            <w:r>
              <w:rPr>
                <w:rFonts w:hint="eastAsia" w:ascii="宋体" w:hAnsi="宋体"/>
                <w:kern w:val="44"/>
                <w:sz w:val="18"/>
                <w:szCs w:val="26"/>
              </w:rPr>
              <w:t>宽度</w:t>
            </w:r>
            <w:r>
              <w:rPr>
                <w:rFonts w:ascii="宋体" w:hAnsi="宋体"/>
                <w:kern w:val="44"/>
                <w:sz w:val="18"/>
                <w:szCs w:val="26"/>
              </w:rPr>
              <w:t>，直径，米</w:t>
            </w:r>
          </w:p>
        </w:tc>
        <w:tc>
          <w:tcPr>
            <w:tcW w:w="2912" w:type="dxa"/>
            <w:vAlign w:val="center"/>
          </w:tcPr>
          <w:p w14:paraId="55EE21C6">
            <w:pPr>
              <w:spacing w:line="240" w:lineRule="auto"/>
              <w:jc w:val="center"/>
              <w:rPr>
                <w:rFonts w:ascii="宋体" w:hAnsi="宋体"/>
                <w:kern w:val="44"/>
                <w:sz w:val="18"/>
              </w:rPr>
            </w:pPr>
            <w:r>
              <w:rPr>
                <w:rFonts w:hint="eastAsia" w:ascii="宋体" w:hAnsi="宋体"/>
                <w:kern w:val="44"/>
                <w:sz w:val="18"/>
                <w:szCs w:val="26"/>
              </w:rPr>
              <w:t>N6</w:t>
            </w:r>
          </w:p>
        </w:tc>
      </w:tr>
      <w:tr w14:paraId="3BCE1C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26" w:hRule="atLeast"/>
        </w:trPr>
        <w:tc>
          <w:tcPr>
            <w:tcW w:w="2356" w:type="dxa"/>
            <w:vAlign w:val="center"/>
          </w:tcPr>
          <w:p w14:paraId="31AC2ED7">
            <w:pPr>
              <w:spacing w:line="240" w:lineRule="auto"/>
              <w:jc w:val="center"/>
              <w:rPr>
                <w:rFonts w:ascii="宋体" w:hAnsi="宋体"/>
                <w:kern w:val="44"/>
                <w:sz w:val="18"/>
                <w:szCs w:val="26"/>
              </w:rPr>
            </w:pPr>
            <w:r>
              <w:rPr>
                <w:rFonts w:hint="eastAsia" w:ascii="宋体" w:hAnsi="宋体"/>
                <w:kern w:val="44"/>
                <w:sz w:val="18"/>
                <w:szCs w:val="26"/>
              </w:rPr>
              <w:t>313</w:t>
            </w:r>
            <w:r>
              <w:rPr>
                <w:rFonts w:ascii="宋体" w:hAnsi="宋体"/>
                <w:kern w:val="44"/>
                <w:sz w:val="18"/>
                <w:szCs w:val="26"/>
              </w:rPr>
              <w:t>n</w:t>
            </w:r>
          </w:p>
        </w:tc>
        <w:tc>
          <w:tcPr>
            <w:tcW w:w="4054" w:type="dxa"/>
            <w:vAlign w:val="center"/>
          </w:tcPr>
          <w:p w14:paraId="358DB178">
            <w:pPr>
              <w:spacing w:line="240" w:lineRule="auto"/>
              <w:jc w:val="center"/>
              <w:rPr>
                <w:rFonts w:ascii="宋体" w:hAnsi="宋体"/>
                <w:kern w:val="44"/>
                <w:sz w:val="18"/>
                <w:szCs w:val="26"/>
              </w:rPr>
            </w:pPr>
            <w:r>
              <w:rPr>
                <w:rFonts w:hint="eastAsia" w:ascii="宋体" w:hAnsi="宋体"/>
                <w:kern w:val="44"/>
                <w:sz w:val="18"/>
                <w:szCs w:val="26"/>
              </w:rPr>
              <w:t>深度</w:t>
            </w:r>
            <w:r>
              <w:rPr>
                <w:rFonts w:ascii="宋体" w:hAnsi="宋体"/>
                <w:kern w:val="44"/>
                <w:sz w:val="18"/>
                <w:szCs w:val="26"/>
              </w:rPr>
              <w:t>，厚度，高度，米</w:t>
            </w:r>
          </w:p>
        </w:tc>
        <w:tc>
          <w:tcPr>
            <w:tcW w:w="2912" w:type="dxa"/>
            <w:vAlign w:val="center"/>
          </w:tcPr>
          <w:p w14:paraId="17DE0763">
            <w:pPr>
              <w:spacing w:line="240" w:lineRule="auto"/>
              <w:jc w:val="center"/>
              <w:rPr>
                <w:rFonts w:ascii="宋体" w:hAnsi="宋体"/>
                <w:kern w:val="44"/>
                <w:sz w:val="18"/>
              </w:rPr>
            </w:pPr>
            <w:r>
              <w:rPr>
                <w:rFonts w:hint="eastAsia" w:ascii="宋体" w:hAnsi="宋体"/>
                <w:kern w:val="44"/>
                <w:sz w:val="18"/>
                <w:szCs w:val="26"/>
              </w:rPr>
              <w:t>N6</w:t>
            </w:r>
          </w:p>
        </w:tc>
      </w:tr>
      <w:tr w14:paraId="158BE0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26" w:hRule="atLeast"/>
        </w:trPr>
        <w:tc>
          <w:tcPr>
            <w:tcW w:w="2356" w:type="dxa"/>
            <w:vAlign w:val="center"/>
          </w:tcPr>
          <w:p w14:paraId="6D2F367F">
            <w:pPr>
              <w:spacing w:line="240" w:lineRule="auto"/>
              <w:jc w:val="center"/>
              <w:rPr>
                <w:rFonts w:ascii="宋体" w:hAnsi="宋体"/>
                <w:kern w:val="44"/>
                <w:sz w:val="18"/>
                <w:szCs w:val="26"/>
              </w:rPr>
            </w:pPr>
            <w:r>
              <w:rPr>
                <w:rFonts w:hint="eastAsia" w:ascii="宋体" w:hAnsi="宋体"/>
                <w:kern w:val="44"/>
                <w:sz w:val="18"/>
                <w:szCs w:val="26"/>
              </w:rPr>
              <w:t>3</w:t>
            </w:r>
            <w:r>
              <w:rPr>
                <w:rFonts w:ascii="宋体" w:hAnsi="宋体"/>
                <w:kern w:val="44"/>
                <w:sz w:val="18"/>
                <w:szCs w:val="26"/>
              </w:rPr>
              <w:t>1</w:t>
            </w:r>
            <w:r>
              <w:rPr>
                <w:rFonts w:hint="eastAsia" w:ascii="宋体" w:hAnsi="宋体"/>
                <w:kern w:val="44"/>
                <w:sz w:val="18"/>
                <w:szCs w:val="26"/>
              </w:rPr>
              <w:t>4</w:t>
            </w:r>
            <w:r>
              <w:rPr>
                <w:rFonts w:ascii="宋体" w:hAnsi="宋体"/>
                <w:kern w:val="44"/>
                <w:sz w:val="18"/>
                <w:szCs w:val="26"/>
              </w:rPr>
              <w:t>n</w:t>
            </w:r>
          </w:p>
        </w:tc>
        <w:tc>
          <w:tcPr>
            <w:tcW w:w="4054" w:type="dxa"/>
            <w:vAlign w:val="center"/>
          </w:tcPr>
          <w:p w14:paraId="474A8692">
            <w:pPr>
              <w:spacing w:line="240" w:lineRule="auto"/>
              <w:jc w:val="center"/>
              <w:rPr>
                <w:rFonts w:ascii="宋体" w:hAnsi="宋体"/>
                <w:kern w:val="44"/>
                <w:sz w:val="18"/>
                <w:szCs w:val="26"/>
              </w:rPr>
            </w:pPr>
            <w:r>
              <w:rPr>
                <w:rFonts w:hint="eastAsia" w:ascii="宋体" w:hAnsi="宋体"/>
                <w:kern w:val="44"/>
                <w:sz w:val="18"/>
                <w:szCs w:val="26"/>
              </w:rPr>
              <w:t>面积</w:t>
            </w:r>
            <w:r>
              <w:rPr>
                <w:rFonts w:ascii="宋体" w:hAnsi="宋体"/>
                <w:kern w:val="44"/>
                <w:sz w:val="18"/>
                <w:szCs w:val="26"/>
              </w:rPr>
              <w:t>，平方米</w:t>
            </w:r>
          </w:p>
        </w:tc>
        <w:tc>
          <w:tcPr>
            <w:tcW w:w="2912" w:type="dxa"/>
            <w:vAlign w:val="center"/>
          </w:tcPr>
          <w:p w14:paraId="11196031">
            <w:pPr>
              <w:spacing w:line="240" w:lineRule="auto"/>
              <w:jc w:val="center"/>
              <w:rPr>
                <w:rFonts w:ascii="宋体" w:hAnsi="宋体"/>
                <w:kern w:val="44"/>
                <w:sz w:val="18"/>
              </w:rPr>
            </w:pPr>
            <w:r>
              <w:rPr>
                <w:rFonts w:hint="eastAsia" w:ascii="宋体" w:hAnsi="宋体"/>
                <w:kern w:val="44"/>
                <w:sz w:val="18"/>
                <w:szCs w:val="26"/>
              </w:rPr>
              <w:t>N6</w:t>
            </w:r>
          </w:p>
        </w:tc>
      </w:tr>
      <w:tr w14:paraId="767EF8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26" w:hRule="atLeast"/>
        </w:trPr>
        <w:tc>
          <w:tcPr>
            <w:tcW w:w="2356" w:type="dxa"/>
            <w:vAlign w:val="center"/>
          </w:tcPr>
          <w:p w14:paraId="322D0738">
            <w:pPr>
              <w:spacing w:line="240" w:lineRule="auto"/>
              <w:jc w:val="center"/>
              <w:rPr>
                <w:rFonts w:ascii="宋体" w:hAnsi="宋体"/>
                <w:kern w:val="44"/>
                <w:sz w:val="18"/>
                <w:szCs w:val="26"/>
              </w:rPr>
            </w:pPr>
            <w:r>
              <w:rPr>
                <w:rFonts w:hint="eastAsia" w:ascii="宋体" w:hAnsi="宋体"/>
                <w:kern w:val="44"/>
                <w:sz w:val="18"/>
                <w:szCs w:val="26"/>
              </w:rPr>
              <w:t>315</w:t>
            </w:r>
            <w:r>
              <w:rPr>
                <w:rFonts w:ascii="宋体" w:hAnsi="宋体"/>
                <w:kern w:val="44"/>
                <w:sz w:val="18"/>
                <w:szCs w:val="26"/>
              </w:rPr>
              <w:t>n</w:t>
            </w:r>
          </w:p>
        </w:tc>
        <w:tc>
          <w:tcPr>
            <w:tcW w:w="4054" w:type="dxa"/>
            <w:vAlign w:val="center"/>
          </w:tcPr>
          <w:p w14:paraId="047AB87A">
            <w:pPr>
              <w:spacing w:line="240" w:lineRule="auto"/>
              <w:jc w:val="center"/>
              <w:rPr>
                <w:rFonts w:ascii="宋体" w:hAnsi="宋体"/>
                <w:kern w:val="44"/>
                <w:sz w:val="18"/>
                <w:szCs w:val="26"/>
              </w:rPr>
            </w:pPr>
            <w:r>
              <w:rPr>
                <w:rFonts w:hint="eastAsia" w:ascii="宋体" w:hAnsi="宋体"/>
                <w:kern w:val="44"/>
                <w:sz w:val="18"/>
                <w:szCs w:val="26"/>
              </w:rPr>
              <w:t>净容</w:t>
            </w:r>
            <w:r>
              <w:rPr>
                <w:rFonts w:ascii="宋体" w:hAnsi="宋体"/>
                <w:kern w:val="44"/>
                <w:sz w:val="18"/>
                <w:szCs w:val="26"/>
              </w:rPr>
              <w:t>，升</w:t>
            </w:r>
          </w:p>
        </w:tc>
        <w:tc>
          <w:tcPr>
            <w:tcW w:w="2912" w:type="dxa"/>
            <w:vAlign w:val="center"/>
          </w:tcPr>
          <w:p w14:paraId="7303DE95">
            <w:pPr>
              <w:spacing w:line="240" w:lineRule="auto"/>
              <w:jc w:val="center"/>
              <w:rPr>
                <w:rFonts w:ascii="宋体" w:hAnsi="宋体"/>
                <w:kern w:val="44"/>
                <w:sz w:val="18"/>
              </w:rPr>
            </w:pPr>
            <w:r>
              <w:rPr>
                <w:rFonts w:hint="eastAsia" w:ascii="宋体" w:hAnsi="宋体"/>
                <w:kern w:val="44"/>
                <w:sz w:val="18"/>
                <w:szCs w:val="26"/>
              </w:rPr>
              <w:t>N6</w:t>
            </w:r>
          </w:p>
        </w:tc>
      </w:tr>
      <w:tr w14:paraId="167D93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26" w:hRule="atLeast"/>
        </w:trPr>
        <w:tc>
          <w:tcPr>
            <w:tcW w:w="2356" w:type="dxa"/>
            <w:vAlign w:val="center"/>
          </w:tcPr>
          <w:p w14:paraId="00030475">
            <w:pPr>
              <w:spacing w:line="240" w:lineRule="auto"/>
              <w:jc w:val="center"/>
              <w:rPr>
                <w:rFonts w:ascii="宋体" w:hAnsi="宋体"/>
                <w:kern w:val="44"/>
                <w:sz w:val="18"/>
                <w:szCs w:val="26"/>
              </w:rPr>
            </w:pPr>
            <w:r>
              <w:rPr>
                <w:rFonts w:hint="eastAsia" w:ascii="宋体" w:hAnsi="宋体"/>
                <w:kern w:val="44"/>
                <w:sz w:val="18"/>
                <w:szCs w:val="26"/>
              </w:rPr>
              <w:t>316</w:t>
            </w:r>
            <w:r>
              <w:rPr>
                <w:rFonts w:ascii="宋体" w:hAnsi="宋体"/>
                <w:kern w:val="44"/>
                <w:sz w:val="18"/>
                <w:szCs w:val="26"/>
              </w:rPr>
              <w:t>n</w:t>
            </w:r>
          </w:p>
        </w:tc>
        <w:tc>
          <w:tcPr>
            <w:tcW w:w="4054" w:type="dxa"/>
            <w:vAlign w:val="center"/>
          </w:tcPr>
          <w:p w14:paraId="0ECE9B9A">
            <w:pPr>
              <w:spacing w:line="240" w:lineRule="auto"/>
              <w:jc w:val="center"/>
              <w:rPr>
                <w:rFonts w:ascii="宋体" w:hAnsi="宋体"/>
                <w:kern w:val="44"/>
                <w:sz w:val="18"/>
                <w:szCs w:val="26"/>
              </w:rPr>
            </w:pPr>
            <w:r>
              <w:rPr>
                <w:rFonts w:hint="eastAsia" w:ascii="宋体" w:hAnsi="宋体"/>
                <w:kern w:val="44"/>
                <w:sz w:val="18"/>
                <w:szCs w:val="26"/>
              </w:rPr>
              <w:t>净容</w:t>
            </w:r>
            <w:r>
              <w:rPr>
                <w:rFonts w:ascii="宋体" w:hAnsi="宋体"/>
                <w:kern w:val="44"/>
                <w:sz w:val="18"/>
                <w:szCs w:val="26"/>
              </w:rPr>
              <w:t>，立方米</w:t>
            </w:r>
          </w:p>
        </w:tc>
        <w:tc>
          <w:tcPr>
            <w:tcW w:w="2912" w:type="dxa"/>
            <w:vAlign w:val="center"/>
          </w:tcPr>
          <w:p w14:paraId="27342509">
            <w:pPr>
              <w:spacing w:line="240" w:lineRule="auto"/>
              <w:jc w:val="center"/>
              <w:rPr>
                <w:rFonts w:ascii="宋体" w:hAnsi="宋体"/>
                <w:kern w:val="44"/>
                <w:sz w:val="18"/>
                <w:szCs w:val="26"/>
              </w:rPr>
            </w:pPr>
            <w:r>
              <w:rPr>
                <w:rFonts w:hint="eastAsia" w:ascii="宋体" w:hAnsi="宋体"/>
                <w:kern w:val="44"/>
                <w:sz w:val="18"/>
                <w:szCs w:val="26"/>
              </w:rPr>
              <w:t>N6</w:t>
            </w:r>
          </w:p>
        </w:tc>
      </w:tr>
      <w:tr w14:paraId="7F42C5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26" w:hRule="atLeast"/>
        </w:trPr>
        <w:tc>
          <w:tcPr>
            <w:tcW w:w="2356" w:type="dxa"/>
            <w:vAlign w:val="center"/>
          </w:tcPr>
          <w:p w14:paraId="6A90E47D">
            <w:pPr>
              <w:spacing w:line="240" w:lineRule="auto"/>
              <w:jc w:val="center"/>
              <w:rPr>
                <w:rFonts w:ascii="宋体" w:hAnsi="宋体"/>
                <w:kern w:val="44"/>
                <w:sz w:val="18"/>
                <w:szCs w:val="26"/>
              </w:rPr>
            </w:pPr>
            <w:r>
              <w:rPr>
                <w:rFonts w:hint="eastAsia" w:ascii="宋体" w:hAnsi="宋体"/>
                <w:kern w:val="44"/>
                <w:sz w:val="18"/>
                <w:szCs w:val="26"/>
              </w:rPr>
              <w:t>8001</w:t>
            </w:r>
          </w:p>
        </w:tc>
        <w:tc>
          <w:tcPr>
            <w:tcW w:w="4054" w:type="dxa"/>
            <w:vAlign w:val="center"/>
          </w:tcPr>
          <w:p w14:paraId="539A7413">
            <w:pPr>
              <w:spacing w:line="240" w:lineRule="auto"/>
              <w:jc w:val="center"/>
              <w:rPr>
                <w:rFonts w:ascii="宋体" w:hAnsi="宋体"/>
                <w:kern w:val="44"/>
                <w:sz w:val="18"/>
                <w:szCs w:val="26"/>
              </w:rPr>
            </w:pPr>
            <w:r>
              <w:rPr>
                <w:rFonts w:hint="eastAsia" w:ascii="宋体" w:hAnsi="宋体"/>
                <w:kern w:val="44"/>
                <w:sz w:val="18"/>
                <w:szCs w:val="26"/>
              </w:rPr>
              <w:t>卷状产品</w:t>
            </w:r>
            <w:r>
              <w:rPr>
                <w:rFonts w:ascii="宋体" w:hAnsi="宋体"/>
                <w:kern w:val="44"/>
                <w:sz w:val="18"/>
                <w:szCs w:val="26"/>
              </w:rPr>
              <w:t>的可变属性</w:t>
            </w:r>
          </w:p>
        </w:tc>
        <w:tc>
          <w:tcPr>
            <w:tcW w:w="2912" w:type="dxa"/>
            <w:vAlign w:val="center"/>
          </w:tcPr>
          <w:p w14:paraId="6763EB32">
            <w:pPr>
              <w:spacing w:line="240" w:lineRule="auto"/>
              <w:jc w:val="center"/>
              <w:rPr>
                <w:rFonts w:ascii="宋体" w:hAnsi="宋体"/>
                <w:kern w:val="44"/>
                <w:sz w:val="18"/>
                <w:szCs w:val="26"/>
              </w:rPr>
            </w:pPr>
            <w:r>
              <w:rPr>
                <w:rFonts w:hint="eastAsia" w:ascii="宋体" w:hAnsi="宋体"/>
                <w:kern w:val="44"/>
                <w:sz w:val="18"/>
                <w:szCs w:val="26"/>
              </w:rPr>
              <w:t>N14</w:t>
            </w:r>
          </w:p>
        </w:tc>
      </w:tr>
      <w:tr w14:paraId="4C887D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26" w:hRule="atLeast"/>
        </w:trPr>
        <w:tc>
          <w:tcPr>
            <w:tcW w:w="9322" w:type="dxa"/>
            <w:gridSpan w:val="3"/>
            <w:vAlign w:val="center"/>
          </w:tcPr>
          <w:p w14:paraId="3F9B5A34">
            <w:pPr>
              <w:pStyle w:val="183"/>
              <w:numPr>
                <w:ilvl w:val="0"/>
                <w:numId w:val="33"/>
              </w:numPr>
            </w:pPr>
            <w:r>
              <w:rPr>
                <w:rFonts w:hint="eastAsia"/>
              </w:rPr>
              <w:t>应用标识符（AI）中的“</w:t>
            </w:r>
            <w:r>
              <w:t>n”</w:t>
            </w:r>
            <w:r>
              <w:rPr>
                <w:rFonts w:hint="eastAsia"/>
              </w:rPr>
              <w:t>表示其后数据串中的小数位数。</w:t>
            </w:r>
          </w:p>
          <w:p w14:paraId="45E064D1">
            <w:pPr>
              <w:pStyle w:val="183"/>
            </w:pPr>
            <w:r>
              <w:rPr>
                <w:rFonts w:hint="eastAsia"/>
              </w:rPr>
              <w:t>数据格式中的N表示数字字符，Nm（m为自然数）表示定长为m的数字字符；N..p（p为自然数）表示最长为p的数字字符。</w:t>
            </w:r>
          </w:p>
        </w:tc>
      </w:tr>
    </w:tbl>
    <w:p w14:paraId="6589C97F">
      <w:pPr>
        <w:pStyle w:val="108"/>
        <w:spacing w:before="120" w:after="120"/>
      </w:pPr>
      <w:bookmarkStart w:id="108" w:name="_Toc217395888"/>
      <w:r>
        <w:rPr>
          <w:rFonts w:hint="eastAsia"/>
        </w:rPr>
        <w:t>物流单元</w:t>
      </w:r>
      <w:bookmarkEnd w:id="108"/>
    </w:p>
    <w:p w14:paraId="07C80CA5">
      <w:pPr>
        <w:pStyle w:val="59"/>
        <w:ind w:firstLine="420"/>
      </w:pPr>
      <w:r>
        <w:rPr>
          <w:rFonts w:hint="eastAsia"/>
        </w:rPr>
        <w:t>物流单元是为了便于运输或仓储建立的临时性组合包装，物流单元的编码采用系列货运包装箱代码（SSCC），并用GS1-128条码表示，其编码结构如表</w:t>
      </w:r>
      <w:r>
        <w:t>4</w:t>
      </w:r>
      <w:r>
        <w:rPr>
          <w:rFonts w:hint="eastAsia"/>
        </w:rPr>
        <w:t>所示。</w:t>
      </w:r>
    </w:p>
    <w:p w14:paraId="5139F9C6">
      <w:pPr>
        <w:pStyle w:val="115"/>
        <w:spacing w:before="120" w:after="120"/>
      </w:pPr>
      <w:r>
        <w:rPr>
          <w:rFonts w:hint="eastAsia"/>
        </w:rPr>
        <w:t>SSCC编码结构</w:t>
      </w:r>
    </w:p>
    <w:tbl>
      <w:tblPr>
        <w:tblStyle w:val="29"/>
        <w:tblpPr w:leftFromText="180" w:rightFromText="180" w:vertAnchor="text" w:tblpXSpec="center" w:tblpY="1"/>
        <w:tblOverlap w:val="never"/>
        <w:tblW w:w="934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466"/>
        <w:gridCol w:w="1053"/>
        <w:gridCol w:w="4804"/>
        <w:gridCol w:w="2023"/>
      </w:tblGrid>
      <w:tr w14:paraId="2E2F87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466" w:type="dxa"/>
            <w:vMerge w:val="restart"/>
            <w:shd w:val="clear" w:color="auto" w:fill="D8D8D8" w:themeFill="background1" w:themeFillShade="D9"/>
            <w:vAlign w:val="center"/>
          </w:tcPr>
          <w:p w14:paraId="4670A3B3">
            <w:pPr>
              <w:jc w:val="center"/>
              <w:rPr>
                <w:rFonts w:ascii="宋体" w:hAnsi="宋体"/>
                <w:kern w:val="44"/>
                <w:sz w:val="18"/>
                <w:szCs w:val="18"/>
              </w:rPr>
            </w:pPr>
            <w:r>
              <w:rPr>
                <w:rFonts w:hint="eastAsia" w:ascii="宋体" w:hAnsi="宋体"/>
                <w:kern w:val="44"/>
                <w:sz w:val="18"/>
                <w:szCs w:val="18"/>
              </w:rPr>
              <w:t>应用标识符（AI</w:t>
            </w:r>
            <w:r>
              <w:rPr>
                <w:rFonts w:ascii="宋体" w:hAnsi="宋体"/>
                <w:kern w:val="44"/>
                <w:sz w:val="18"/>
                <w:szCs w:val="18"/>
              </w:rPr>
              <w:t>）</w:t>
            </w:r>
          </w:p>
        </w:tc>
        <w:tc>
          <w:tcPr>
            <w:tcW w:w="7880" w:type="dxa"/>
            <w:gridSpan w:val="3"/>
            <w:shd w:val="clear" w:color="auto" w:fill="D8D8D8" w:themeFill="background1" w:themeFillShade="D9"/>
          </w:tcPr>
          <w:p w14:paraId="37C1F4FF">
            <w:pPr>
              <w:jc w:val="center"/>
              <w:rPr>
                <w:rFonts w:ascii="宋体" w:hAnsi="宋体"/>
                <w:kern w:val="44"/>
                <w:sz w:val="18"/>
                <w:szCs w:val="18"/>
              </w:rPr>
            </w:pPr>
            <w:r>
              <w:rPr>
                <w:rFonts w:hint="eastAsia" w:ascii="宋体" w:hAnsi="宋体"/>
                <w:kern w:val="44"/>
                <w:sz w:val="18"/>
                <w:szCs w:val="18"/>
              </w:rPr>
              <w:t>系列</w:t>
            </w:r>
            <w:r>
              <w:rPr>
                <w:rFonts w:ascii="宋体" w:hAnsi="宋体"/>
                <w:kern w:val="44"/>
                <w:sz w:val="18"/>
                <w:szCs w:val="18"/>
              </w:rPr>
              <w:t>货运包装箱代码</w:t>
            </w:r>
          </w:p>
        </w:tc>
      </w:tr>
      <w:tr w14:paraId="48D4C7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466" w:type="dxa"/>
            <w:vMerge w:val="continue"/>
            <w:vAlign w:val="center"/>
          </w:tcPr>
          <w:p w14:paraId="25619480">
            <w:pPr>
              <w:jc w:val="center"/>
              <w:rPr>
                <w:rFonts w:ascii="宋体" w:hAnsi="宋体"/>
                <w:kern w:val="44"/>
                <w:sz w:val="18"/>
                <w:szCs w:val="18"/>
              </w:rPr>
            </w:pPr>
          </w:p>
        </w:tc>
        <w:tc>
          <w:tcPr>
            <w:tcW w:w="1053" w:type="dxa"/>
            <w:shd w:val="clear" w:color="auto" w:fill="D8D8D8" w:themeFill="background1" w:themeFillShade="D9"/>
          </w:tcPr>
          <w:p w14:paraId="62937614">
            <w:pPr>
              <w:jc w:val="center"/>
              <w:rPr>
                <w:rFonts w:ascii="宋体" w:hAnsi="宋体"/>
                <w:kern w:val="44"/>
                <w:sz w:val="18"/>
                <w:szCs w:val="18"/>
              </w:rPr>
            </w:pPr>
            <w:r>
              <w:rPr>
                <w:rFonts w:hint="eastAsia" w:ascii="宋体" w:hAnsi="宋体"/>
                <w:kern w:val="44"/>
                <w:sz w:val="18"/>
                <w:szCs w:val="18"/>
              </w:rPr>
              <w:t>扩展位</w:t>
            </w:r>
            <w:r>
              <w:rPr>
                <w:rFonts w:ascii="宋体" w:hAnsi="宋体"/>
                <w:kern w:val="44"/>
                <w:sz w:val="18"/>
                <w:szCs w:val="18"/>
                <w:vertAlign w:val="superscript"/>
              </w:rPr>
              <w:t>a</w:t>
            </w:r>
          </w:p>
        </w:tc>
        <w:tc>
          <w:tcPr>
            <w:tcW w:w="4804" w:type="dxa"/>
            <w:shd w:val="clear" w:color="auto" w:fill="D8D8D8" w:themeFill="background1" w:themeFillShade="D9"/>
            <w:vAlign w:val="center"/>
          </w:tcPr>
          <w:p w14:paraId="05BD4308">
            <w:pPr>
              <w:jc w:val="center"/>
              <w:rPr>
                <w:rFonts w:ascii="宋体" w:hAnsi="宋体"/>
                <w:kern w:val="44"/>
                <w:sz w:val="18"/>
                <w:szCs w:val="18"/>
              </w:rPr>
            </w:pPr>
            <w:r>
              <w:rPr>
                <w:rFonts w:hint="eastAsia" w:ascii="宋体" w:hAnsi="宋体"/>
                <w:kern w:val="44"/>
                <w:sz w:val="18"/>
                <w:szCs w:val="18"/>
              </w:rPr>
              <w:t>厂商识别</w:t>
            </w:r>
            <w:r>
              <w:rPr>
                <w:rFonts w:ascii="宋体" w:hAnsi="宋体"/>
                <w:kern w:val="44"/>
                <w:sz w:val="18"/>
                <w:szCs w:val="18"/>
              </w:rPr>
              <w:t>代码</w:t>
            </w:r>
            <w:r>
              <w:rPr>
                <w:rFonts w:ascii="宋体" w:hAnsi="宋体"/>
                <w:kern w:val="44"/>
                <w:sz w:val="18"/>
                <w:szCs w:val="18"/>
                <w:vertAlign w:val="superscript"/>
              </w:rPr>
              <w:t>b</w:t>
            </w:r>
            <w:r>
              <w:rPr>
                <w:rFonts w:hint="eastAsia" w:ascii="宋体" w:hAnsi="宋体"/>
                <w:kern w:val="44"/>
                <w:sz w:val="18"/>
                <w:szCs w:val="18"/>
              </w:rPr>
              <w:t xml:space="preserve">     参考</w:t>
            </w:r>
            <w:r>
              <w:rPr>
                <w:rFonts w:ascii="宋体" w:hAnsi="宋体"/>
                <w:kern w:val="44"/>
                <w:sz w:val="18"/>
                <w:szCs w:val="18"/>
              </w:rPr>
              <w:t>代码</w:t>
            </w:r>
            <w:r>
              <w:rPr>
                <w:rFonts w:ascii="宋体" w:hAnsi="宋体"/>
                <w:kern w:val="44"/>
                <w:sz w:val="18"/>
                <w:szCs w:val="18"/>
                <w:vertAlign w:val="superscript"/>
              </w:rPr>
              <w:t>c</w:t>
            </w:r>
          </w:p>
        </w:tc>
        <w:tc>
          <w:tcPr>
            <w:tcW w:w="2023" w:type="dxa"/>
            <w:shd w:val="clear" w:color="auto" w:fill="D8D8D8" w:themeFill="background1" w:themeFillShade="D9"/>
            <w:vAlign w:val="center"/>
          </w:tcPr>
          <w:p w14:paraId="3870252B">
            <w:pPr>
              <w:jc w:val="center"/>
              <w:rPr>
                <w:rFonts w:ascii="宋体" w:hAnsi="宋体"/>
                <w:kern w:val="44"/>
                <w:sz w:val="18"/>
                <w:szCs w:val="18"/>
              </w:rPr>
            </w:pPr>
            <w:r>
              <w:rPr>
                <w:rFonts w:hint="eastAsia" w:ascii="宋体" w:hAnsi="宋体"/>
                <w:kern w:val="44"/>
                <w:sz w:val="18"/>
                <w:szCs w:val="18"/>
              </w:rPr>
              <w:t>校验位</w:t>
            </w:r>
            <w:r>
              <w:rPr>
                <w:rFonts w:ascii="宋体" w:hAnsi="宋体"/>
                <w:kern w:val="44"/>
                <w:sz w:val="18"/>
                <w:szCs w:val="18"/>
                <w:vertAlign w:val="superscript"/>
              </w:rPr>
              <w:t>d</w:t>
            </w:r>
          </w:p>
        </w:tc>
      </w:tr>
      <w:tr w14:paraId="549F0F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466" w:type="dxa"/>
            <w:vAlign w:val="center"/>
          </w:tcPr>
          <w:p w14:paraId="3DA53397">
            <w:pPr>
              <w:jc w:val="center"/>
              <w:rPr>
                <w:rFonts w:ascii="宋体" w:hAnsi="宋体"/>
                <w:kern w:val="44"/>
                <w:sz w:val="18"/>
                <w:szCs w:val="18"/>
              </w:rPr>
            </w:pPr>
            <w:r>
              <w:rPr>
                <w:rFonts w:ascii="宋体" w:hAnsi="宋体"/>
                <w:kern w:val="44"/>
                <w:sz w:val="18"/>
                <w:szCs w:val="18"/>
              </w:rPr>
              <w:t>00</w:t>
            </w:r>
            <w:r>
              <w:rPr>
                <w:rFonts w:ascii="宋体" w:hAnsi="宋体"/>
                <w:kern w:val="44"/>
                <w:sz w:val="18"/>
                <w:szCs w:val="18"/>
                <w:vertAlign w:val="superscript"/>
              </w:rPr>
              <w:t>e</w:t>
            </w:r>
          </w:p>
        </w:tc>
        <w:tc>
          <w:tcPr>
            <w:tcW w:w="1053" w:type="dxa"/>
            <w:vAlign w:val="center"/>
          </w:tcPr>
          <w:p w14:paraId="2B00931F">
            <w:pPr>
              <w:jc w:val="center"/>
              <w:rPr>
                <w:rFonts w:ascii="宋体" w:hAnsi="宋体"/>
                <w:kern w:val="44"/>
                <w:sz w:val="18"/>
                <w:szCs w:val="18"/>
              </w:rPr>
            </w:pPr>
            <w:r>
              <w:rPr>
                <w:rFonts w:ascii="宋体" w:hAnsi="宋体"/>
                <w:kern w:val="44"/>
                <w:sz w:val="18"/>
                <w:szCs w:val="18"/>
              </w:rPr>
              <w:t>X</w:t>
            </w:r>
            <w:r>
              <w:rPr>
                <w:rFonts w:ascii="宋体" w:hAnsi="宋体"/>
                <w:kern w:val="44"/>
                <w:sz w:val="18"/>
                <w:szCs w:val="18"/>
                <w:vertAlign w:val="subscript"/>
              </w:rPr>
              <w:t>18</w:t>
            </w:r>
          </w:p>
        </w:tc>
        <w:tc>
          <w:tcPr>
            <w:tcW w:w="4804" w:type="dxa"/>
            <w:vAlign w:val="center"/>
          </w:tcPr>
          <w:p w14:paraId="73A37ED8">
            <w:pPr>
              <w:jc w:val="center"/>
              <w:rPr>
                <w:rFonts w:ascii="宋体" w:hAnsi="宋体"/>
                <w:kern w:val="44"/>
                <w:sz w:val="18"/>
                <w:szCs w:val="18"/>
              </w:rPr>
            </w:pPr>
            <w:r>
              <w:rPr>
                <w:rFonts w:ascii="宋体" w:hAnsi="宋体"/>
                <w:kern w:val="44"/>
                <w:sz w:val="18"/>
                <w:szCs w:val="18"/>
              </w:rPr>
              <w:t>X</w:t>
            </w:r>
            <w:r>
              <w:rPr>
                <w:rFonts w:ascii="宋体" w:hAnsi="宋体"/>
                <w:kern w:val="44"/>
                <w:sz w:val="18"/>
                <w:szCs w:val="18"/>
                <w:vertAlign w:val="subscript"/>
              </w:rPr>
              <w:t>17</w:t>
            </w:r>
            <w:r>
              <w:rPr>
                <w:rFonts w:ascii="宋体" w:hAnsi="宋体"/>
                <w:kern w:val="44"/>
                <w:sz w:val="18"/>
                <w:szCs w:val="18"/>
              </w:rPr>
              <w:t>X</w:t>
            </w:r>
            <w:r>
              <w:rPr>
                <w:rFonts w:ascii="宋体" w:hAnsi="宋体"/>
                <w:kern w:val="44"/>
                <w:sz w:val="18"/>
                <w:szCs w:val="18"/>
                <w:vertAlign w:val="subscript"/>
              </w:rPr>
              <w:t>16</w:t>
            </w:r>
            <w:r>
              <w:rPr>
                <w:rFonts w:ascii="宋体" w:hAnsi="宋体"/>
                <w:kern w:val="44"/>
                <w:sz w:val="18"/>
                <w:szCs w:val="18"/>
              </w:rPr>
              <w:t>X</w:t>
            </w:r>
            <w:r>
              <w:rPr>
                <w:rFonts w:ascii="宋体" w:hAnsi="宋体"/>
                <w:kern w:val="44"/>
                <w:sz w:val="18"/>
                <w:szCs w:val="18"/>
                <w:vertAlign w:val="subscript"/>
              </w:rPr>
              <w:t>15</w:t>
            </w:r>
            <w:r>
              <w:rPr>
                <w:rFonts w:ascii="宋体" w:hAnsi="宋体"/>
                <w:kern w:val="44"/>
                <w:sz w:val="18"/>
                <w:szCs w:val="18"/>
              </w:rPr>
              <w:t>X</w:t>
            </w:r>
            <w:r>
              <w:rPr>
                <w:rFonts w:ascii="宋体" w:hAnsi="宋体"/>
                <w:kern w:val="44"/>
                <w:sz w:val="18"/>
                <w:szCs w:val="18"/>
                <w:vertAlign w:val="subscript"/>
              </w:rPr>
              <w:t>14</w:t>
            </w:r>
            <w:r>
              <w:rPr>
                <w:rFonts w:ascii="宋体" w:hAnsi="宋体"/>
                <w:kern w:val="44"/>
                <w:sz w:val="18"/>
                <w:szCs w:val="18"/>
              </w:rPr>
              <w:t>X</w:t>
            </w:r>
            <w:r>
              <w:rPr>
                <w:rFonts w:ascii="宋体" w:hAnsi="宋体"/>
                <w:kern w:val="44"/>
                <w:sz w:val="18"/>
                <w:szCs w:val="18"/>
                <w:vertAlign w:val="subscript"/>
              </w:rPr>
              <w:t>13</w:t>
            </w:r>
            <w:r>
              <w:rPr>
                <w:rFonts w:ascii="宋体" w:hAnsi="宋体"/>
                <w:kern w:val="44"/>
                <w:sz w:val="18"/>
                <w:szCs w:val="18"/>
              </w:rPr>
              <w:t>X</w:t>
            </w:r>
            <w:r>
              <w:rPr>
                <w:rFonts w:ascii="宋体" w:hAnsi="宋体"/>
                <w:kern w:val="44"/>
                <w:sz w:val="18"/>
                <w:szCs w:val="18"/>
                <w:vertAlign w:val="subscript"/>
              </w:rPr>
              <w:t>12</w:t>
            </w:r>
            <w:r>
              <w:rPr>
                <w:rFonts w:ascii="宋体" w:hAnsi="宋体"/>
                <w:kern w:val="44"/>
                <w:sz w:val="18"/>
                <w:szCs w:val="18"/>
              </w:rPr>
              <w:t>X</w:t>
            </w:r>
            <w:r>
              <w:rPr>
                <w:rFonts w:ascii="宋体" w:hAnsi="宋体"/>
                <w:kern w:val="44"/>
                <w:sz w:val="18"/>
                <w:szCs w:val="18"/>
                <w:vertAlign w:val="subscript"/>
              </w:rPr>
              <w:t>11</w:t>
            </w:r>
            <w:r>
              <w:rPr>
                <w:rFonts w:ascii="宋体" w:hAnsi="宋体"/>
                <w:kern w:val="44"/>
                <w:sz w:val="18"/>
                <w:szCs w:val="18"/>
              </w:rPr>
              <w:t>X</w:t>
            </w:r>
            <w:r>
              <w:rPr>
                <w:rFonts w:ascii="宋体" w:hAnsi="宋体"/>
                <w:kern w:val="44"/>
                <w:sz w:val="18"/>
                <w:szCs w:val="18"/>
                <w:vertAlign w:val="subscript"/>
              </w:rPr>
              <w:t>10</w:t>
            </w:r>
            <w:r>
              <w:rPr>
                <w:rFonts w:ascii="宋体" w:hAnsi="宋体"/>
                <w:kern w:val="44"/>
                <w:sz w:val="18"/>
                <w:szCs w:val="18"/>
              </w:rPr>
              <w:t>X</w:t>
            </w:r>
            <w:r>
              <w:rPr>
                <w:rFonts w:ascii="宋体" w:hAnsi="宋体"/>
                <w:kern w:val="44"/>
                <w:sz w:val="18"/>
                <w:szCs w:val="18"/>
                <w:vertAlign w:val="subscript"/>
              </w:rPr>
              <w:t>9</w:t>
            </w:r>
            <w:r>
              <w:rPr>
                <w:rFonts w:ascii="宋体" w:hAnsi="宋体"/>
                <w:kern w:val="44"/>
                <w:sz w:val="18"/>
                <w:szCs w:val="18"/>
              </w:rPr>
              <w:t>X</w:t>
            </w:r>
            <w:r>
              <w:rPr>
                <w:rFonts w:ascii="宋体" w:hAnsi="宋体"/>
                <w:kern w:val="44"/>
                <w:sz w:val="18"/>
                <w:szCs w:val="18"/>
                <w:vertAlign w:val="subscript"/>
              </w:rPr>
              <w:t>8</w:t>
            </w:r>
            <w:r>
              <w:rPr>
                <w:rFonts w:ascii="宋体" w:hAnsi="宋体"/>
                <w:kern w:val="44"/>
                <w:sz w:val="18"/>
                <w:szCs w:val="18"/>
              </w:rPr>
              <w:t>X</w:t>
            </w:r>
            <w:r>
              <w:rPr>
                <w:rFonts w:ascii="宋体" w:hAnsi="宋体"/>
                <w:kern w:val="44"/>
                <w:sz w:val="18"/>
                <w:szCs w:val="18"/>
                <w:vertAlign w:val="subscript"/>
              </w:rPr>
              <w:t>7</w:t>
            </w:r>
            <w:r>
              <w:rPr>
                <w:rFonts w:ascii="宋体" w:hAnsi="宋体"/>
                <w:kern w:val="44"/>
                <w:sz w:val="18"/>
                <w:szCs w:val="18"/>
              </w:rPr>
              <w:t>X</w:t>
            </w:r>
            <w:r>
              <w:rPr>
                <w:rFonts w:ascii="宋体" w:hAnsi="宋体"/>
                <w:kern w:val="44"/>
                <w:sz w:val="18"/>
                <w:szCs w:val="18"/>
                <w:vertAlign w:val="subscript"/>
              </w:rPr>
              <w:t>6</w:t>
            </w:r>
            <w:r>
              <w:rPr>
                <w:rFonts w:ascii="宋体" w:hAnsi="宋体"/>
                <w:kern w:val="44"/>
                <w:sz w:val="18"/>
                <w:szCs w:val="18"/>
              </w:rPr>
              <w:t>X</w:t>
            </w:r>
            <w:r>
              <w:rPr>
                <w:rFonts w:ascii="宋体" w:hAnsi="宋体"/>
                <w:kern w:val="44"/>
                <w:sz w:val="18"/>
                <w:szCs w:val="18"/>
                <w:vertAlign w:val="subscript"/>
              </w:rPr>
              <w:t>5</w:t>
            </w:r>
            <w:r>
              <w:rPr>
                <w:rFonts w:ascii="宋体" w:hAnsi="宋体"/>
                <w:kern w:val="44"/>
                <w:sz w:val="18"/>
                <w:szCs w:val="18"/>
              </w:rPr>
              <w:t>X</w:t>
            </w:r>
            <w:r>
              <w:rPr>
                <w:rFonts w:ascii="宋体" w:hAnsi="宋体"/>
                <w:kern w:val="44"/>
                <w:sz w:val="18"/>
                <w:szCs w:val="18"/>
                <w:vertAlign w:val="subscript"/>
              </w:rPr>
              <w:t>4</w:t>
            </w:r>
            <w:r>
              <w:rPr>
                <w:rFonts w:ascii="宋体" w:hAnsi="宋体"/>
                <w:kern w:val="44"/>
                <w:sz w:val="18"/>
                <w:szCs w:val="18"/>
              </w:rPr>
              <w:t>X</w:t>
            </w:r>
            <w:r>
              <w:rPr>
                <w:rFonts w:ascii="宋体" w:hAnsi="宋体"/>
                <w:kern w:val="44"/>
                <w:sz w:val="18"/>
                <w:szCs w:val="18"/>
                <w:vertAlign w:val="subscript"/>
              </w:rPr>
              <w:t>3</w:t>
            </w:r>
            <w:r>
              <w:rPr>
                <w:rFonts w:ascii="宋体" w:hAnsi="宋体"/>
                <w:kern w:val="44"/>
                <w:sz w:val="18"/>
                <w:szCs w:val="18"/>
              </w:rPr>
              <w:t>X</w:t>
            </w:r>
            <w:r>
              <w:rPr>
                <w:rFonts w:ascii="宋体" w:hAnsi="宋体"/>
                <w:kern w:val="44"/>
                <w:sz w:val="18"/>
                <w:szCs w:val="18"/>
                <w:vertAlign w:val="subscript"/>
              </w:rPr>
              <w:t>2</w:t>
            </w:r>
          </w:p>
        </w:tc>
        <w:tc>
          <w:tcPr>
            <w:tcW w:w="2023" w:type="dxa"/>
            <w:vAlign w:val="center"/>
          </w:tcPr>
          <w:p w14:paraId="44EBCAD1">
            <w:pPr>
              <w:jc w:val="center"/>
              <w:rPr>
                <w:rFonts w:ascii="宋体" w:hAnsi="宋体"/>
                <w:kern w:val="44"/>
                <w:sz w:val="18"/>
                <w:szCs w:val="18"/>
              </w:rPr>
            </w:pPr>
            <w:r>
              <w:rPr>
                <w:rFonts w:ascii="宋体" w:hAnsi="宋体"/>
                <w:kern w:val="44"/>
                <w:sz w:val="18"/>
                <w:szCs w:val="18"/>
              </w:rPr>
              <w:t>X</w:t>
            </w:r>
            <w:r>
              <w:rPr>
                <w:rFonts w:ascii="宋体" w:hAnsi="宋体"/>
                <w:kern w:val="44"/>
                <w:sz w:val="18"/>
                <w:szCs w:val="18"/>
                <w:vertAlign w:val="subscript"/>
              </w:rPr>
              <w:t>1</w:t>
            </w:r>
          </w:p>
        </w:tc>
      </w:tr>
      <w:tr w14:paraId="3F456C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9346" w:type="dxa"/>
            <w:gridSpan w:val="4"/>
            <w:tcBorders>
              <w:top w:val="single" w:color="auto" w:sz="8" w:space="0"/>
              <w:bottom w:val="single" w:color="auto" w:sz="8" w:space="0"/>
            </w:tcBorders>
            <w:shd w:val="clear" w:color="auto" w:fill="auto"/>
            <w:vAlign w:val="center"/>
          </w:tcPr>
          <w:p w14:paraId="2DAFA51C">
            <w:pPr>
              <w:pStyle w:val="104"/>
              <w:numPr>
                <w:ilvl w:val="0"/>
                <w:numId w:val="34"/>
              </w:numPr>
            </w:pPr>
            <w:r>
              <w:rPr>
                <w:rFonts w:hint="eastAsia"/>
              </w:rPr>
              <w:t>扩展位表示包装类型，用于增加</w:t>
            </w:r>
            <w:r>
              <w:t>SSCC的容量，由建立SSCC的厂商分配，取值范围为0</w:t>
            </w:r>
            <w:r>
              <w:rPr>
                <w:rFonts w:ascii="Times New Roman" w:hAnsi="Times New Roman"/>
              </w:rPr>
              <w:t>~</w:t>
            </w:r>
            <w:r>
              <w:t>9。</w:t>
            </w:r>
          </w:p>
          <w:p w14:paraId="05A47904">
            <w:pPr>
              <w:pStyle w:val="104"/>
            </w:pPr>
            <w:r>
              <w:rPr>
                <w:rFonts w:hint="eastAsia"/>
              </w:rPr>
              <w:t>同零售商品，详见</w:t>
            </w:r>
            <w:r>
              <w:t>7.1.1代码结构。</w:t>
            </w:r>
          </w:p>
          <w:p w14:paraId="6BB2CB94">
            <w:pPr>
              <w:pStyle w:val="104"/>
            </w:pPr>
            <w:r>
              <w:rPr>
                <w:rFonts w:hint="eastAsia"/>
              </w:rPr>
              <w:t>由中国商品条码系统成员自行给物流单元分配的一个连续号。</w:t>
            </w:r>
          </w:p>
          <w:p w14:paraId="23426E84">
            <w:pPr>
              <w:pStyle w:val="104"/>
            </w:pPr>
            <w:r>
              <w:rPr>
                <w:rFonts w:hint="eastAsia"/>
              </w:rPr>
              <w:t>其计算方法根据</w:t>
            </w:r>
            <w:r>
              <w:t>GB/T 168</w:t>
            </w:r>
            <w:r>
              <w:rPr>
                <w:rFonts w:hint="eastAsia"/>
              </w:rPr>
              <w:t>986</w:t>
            </w:r>
            <w:r>
              <w:t>的规定进行计算。</w:t>
            </w:r>
          </w:p>
          <w:p w14:paraId="5FECD741">
            <w:pPr>
              <w:pStyle w:val="104"/>
            </w:pPr>
            <w:r>
              <w:rPr>
                <w:rFonts w:hint="eastAsia"/>
              </w:rPr>
              <w:t>表示后跟系列货运包装箱代码。</w:t>
            </w:r>
          </w:p>
        </w:tc>
      </w:tr>
    </w:tbl>
    <w:p w14:paraId="6635C2B7">
      <w:pPr>
        <w:pStyle w:val="108"/>
        <w:spacing w:before="120" w:after="120"/>
      </w:pPr>
      <w:bookmarkStart w:id="109" w:name="_Toc217395889"/>
      <w:bookmarkStart w:id="110" w:name="OLE_LINK6"/>
      <w:r>
        <w:rPr>
          <w:rFonts w:hint="eastAsia"/>
        </w:rPr>
        <w:t>其他附加属性信息</w:t>
      </w:r>
      <w:bookmarkEnd w:id="109"/>
    </w:p>
    <w:bookmarkEnd w:id="110"/>
    <w:p w14:paraId="771ED8CC">
      <w:pPr>
        <w:pStyle w:val="59"/>
        <w:ind w:firstLine="420"/>
      </w:pPr>
      <w:r>
        <w:rPr>
          <w:rFonts w:hint="eastAsia"/>
        </w:rPr>
        <w:t>MRO工业品在流通过程中需要标识其他附加信息，如生产日期、有效期、批次等信息时，也可采用AI，具体使用方法宜按照GB/T 16986的</w:t>
      </w:r>
      <w:r>
        <w:t>规定</w:t>
      </w:r>
      <w:r>
        <w:rPr>
          <w:rFonts w:hint="eastAsia"/>
        </w:rPr>
        <w:t>。常用的AI如表</w:t>
      </w:r>
      <w:r>
        <w:t>5</w:t>
      </w:r>
      <w:r>
        <w:rPr>
          <w:rFonts w:hint="eastAsia"/>
        </w:rPr>
        <w:t>所示。</w:t>
      </w:r>
    </w:p>
    <w:p w14:paraId="50A4F003">
      <w:pPr>
        <w:pStyle w:val="115"/>
        <w:spacing w:before="120" w:after="120"/>
      </w:pPr>
      <w:r>
        <w:rPr>
          <w:rFonts w:hint="eastAsia"/>
        </w:rPr>
        <w:t>GS1应用标识符</w:t>
      </w:r>
    </w:p>
    <w:tbl>
      <w:tblPr>
        <w:tblStyle w:val="29"/>
        <w:tblW w:w="9367"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576"/>
        <w:gridCol w:w="2214"/>
        <w:gridCol w:w="1108"/>
        <w:gridCol w:w="2055"/>
        <w:gridCol w:w="2414"/>
      </w:tblGrid>
      <w:tr w14:paraId="69C22E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3" w:hRule="atLeast"/>
        </w:trPr>
        <w:tc>
          <w:tcPr>
            <w:tcW w:w="1576" w:type="dxa"/>
            <w:tcBorders>
              <w:top w:val="single" w:color="auto" w:sz="8" w:space="0"/>
              <w:bottom w:val="single" w:color="auto" w:sz="8" w:space="0"/>
            </w:tcBorders>
            <w:shd w:val="clear" w:color="auto" w:fill="D8D8D8" w:themeFill="background1" w:themeFillShade="D9"/>
            <w:vAlign w:val="center"/>
          </w:tcPr>
          <w:p w14:paraId="62988611">
            <w:pPr>
              <w:spacing w:line="240" w:lineRule="auto"/>
              <w:jc w:val="center"/>
              <w:rPr>
                <w:rFonts w:ascii="宋体" w:hAnsi="宋体"/>
                <w:kern w:val="44"/>
                <w:sz w:val="18"/>
                <w:szCs w:val="26"/>
              </w:rPr>
            </w:pPr>
            <w:r>
              <w:rPr>
                <w:rFonts w:hint="eastAsia" w:ascii="宋体" w:hAnsi="宋体"/>
                <w:kern w:val="44"/>
                <w:sz w:val="18"/>
                <w:szCs w:val="26"/>
              </w:rPr>
              <w:t>应用标识符</w:t>
            </w:r>
          </w:p>
          <w:p w14:paraId="105C385C">
            <w:pPr>
              <w:spacing w:line="240" w:lineRule="auto"/>
              <w:jc w:val="center"/>
              <w:rPr>
                <w:rFonts w:ascii="宋体" w:hAnsi="宋体"/>
                <w:kern w:val="44"/>
                <w:sz w:val="18"/>
                <w:szCs w:val="26"/>
              </w:rPr>
            </w:pPr>
            <w:r>
              <w:rPr>
                <w:rFonts w:hint="eastAsia" w:ascii="宋体" w:hAnsi="宋体"/>
                <w:kern w:val="44"/>
                <w:sz w:val="18"/>
                <w:szCs w:val="26"/>
              </w:rPr>
              <w:t>（AI</w:t>
            </w:r>
            <w:r>
              <w:rPr>
                <w:rFonts w:ascii="宋体" w:hAnsi="宋体"/>
                <w:kern w:val="44"/>
                <w:sz w:val="18"/>
                <w:szCs w:val="26"/>
              </w:rPr>
              <w:t>）</w:t>
            </w:r>
          </w:p>
        </w:tc>
        <w:tc>
          <w:tcPr>
            <w:tcW w:w="2214" w:type="dxa"/>
            <w:tcBorders>
              <w:top w:val="single" w:color="auto" w:sz="8" w:space="0"/>
              <w:bottom w:val="single" w:color="auto" w:sz="8" w:space="0"/>
            </w:tcBorders>
            <w:shd w:val="clear" w:color="auto" w:fill="D8D8D8" w:themeFill="background1" w:themeFillShade="D9"/>
            <w:vAlign w:val="center"/>
          </w:tcPr>
          <w:p w14:paraId="3CEAD067">
            <w:pPr>
              <w:spacing w:line="240" w:lineRule="auto"/>
              <w:jc w:val="center"/>
              <w:rPr>
                <w:rFonts w:ascii="宋体" w:hAnsi="宋体"/>
                <w:kern w:val="44"/>
                <w:sz w:val="18"/>
                <w:szCs w:val="26"/>
              </w:rPr>
            </w:pPr>
            <w:r>
              <w:rPr>
                <w:rFonts w:hint="eastAsia" w:ascii="宋体" w:hAnsi="宋体"/>
                <w:kern w:val="44"/>
                <w:sz w:val="18"/>
                <w:szCs w:val="26"/>
              </w:rPr>
              <w:t>属性信息含义</w:t>
            </w:r>
          </w:p>
        </w:tc>
        <w:tc>
          <w:tcPr>
            <w:tcW w:w="1108" w:type="dxa"/>
            <w:tcBorders>
              <w:top w:val="single" w:color="auto" w:sz="8" w:space="0"/>
              <w:bottom w:val="single" w:color="auto" w:sz="8" w:space="0"/>
            </w:tcBorders>
            <w:shd w:val="clear" w:color="auto" w:fill="D8D8D8" w:themeFill="background1" w:themeFillShade="D9"/>
            <w:vAlign w:val="center"/>
          </w:tcPr>
          <w:p w14:paraId="1749D4FD">
            <w:pPr>
              <w:spacing w:line="240" w:lineRule="auto"/>
              <w:jc w:val="center"/>
              <w:rPr>
                <w:rFonts w:ascii="宋体" w:hAnsi="宋体"/>
                <w:kern w:val="44"/>
                <w:sz w:val="18"/>
                <w:szCs w:val="26"/>
              </w:rPr>
            </w:pPr>
            <w:r>
              <w:rPr>
                <w:rFonts w:hint="eastAsia" w:ascii="宋体" w:hAnsi="宋体"/>
                <w:kern w:val="44"/>
                <w:sz w:val="18"/>
                <w:szCs w:val="26"/>
              </w:rPr>
              <w:t>AI格式</w:t>
            </w:r>
          </w:p>
        </w:tc>
        <w:tc>
          <w:tcPr>
            <w:tcW w:w="2055" w:type="dxa"/>
            <w:tcBorders>
              <w:top w:val="single" w:color="auto" w:sz="8" w:space="0"/>
              <w:bottom w:val="single" w:color="auto" w:sz="8" w:space="0"/>
            </w:tcBorders>
            <w:shd w:val="clear" w:color="auto" w:fill="D8D8D8" w:themeFill="background1" w:themeFillShade="D9"/>
            <w:vAlign w:val="center"/>
          </w:tcPr>
          <w:p w14:paraId="067CB206">
            <w:pPr>
              <w:spacing w:line="240" w:lineRule="auto"/>
              <w:jc w:val="center"/>
              <w:rPr>
                <w:rFonts w:ascii="宋体" w:hAnsi="宋体"/>
                <w:kern w:val="44"/>
                <w:sz w:val="18"/>
                <w:szCs w:val="26"/>
              </w:rPr>
            </w:pPr>
            <w:r>
              <w:rPr>
                <w:rFonts w:hint="eastAsia" w:ascii="宋体" w:hAnsi="宋体"/>
                <w:kern w:val="44"/>
                <w:sz w:val="18"/>
                <w:szCs w:val="26"/>
              </w:rPr>
              <w:t>AI数据字段格式</w:t>
            </w:r>
          </w:p>
        </w:tc>
        <w:tc>
          <w:tcPr>
            <w:tcW w:w="2414" w:type="dxa"/>
            <w:tcBorders>
              <w:top w:val="single" w:color="auto" w:sz="8" w:space="0"/>
              <w:bottom w:val="single" w:color="auto" w:sz="8" w:space="0"/>
            </w:tcBorders>
            <w:shd w:val="clear" w:color="auto" w:fill="D8D8D8" w:themeFill="background1" w:themeFillShade="D9"/>
            <w:vAlign w:val="center"/>
          </w:tcPr>
          <w:p w14:paraId="78C647EC">
            <w:pPr>
              <w:spacing w:line="240" w:lineRule="auto"/>
              <w:jc w:val="center"/>
              <w:rPr>
                <w:rFonts w:ascii="宋体" w:hAnsi="宋体"/>
                <w:kern w:val="44"/>
                <w:sz w:val="18"/>
                <w:szCs w:val="26"/>
              </w:rPr>
            </w:pPr>
            <w:r>
              <w:rPr>
                <w:rFonts w:hint="eastAsia" w:ascii="宋体" w:hAnsi="宋体"/>
                <w:kern w:val="44"/>
                <w:sz w:val="18"/>
                <w:szCs w:val="26"/>
              </w:rPr>
              <w:t>英文</w:t>
            </w:r>
            <w:r>
              <w:rPr>
                <w:rFonts w:ascii="宋体" w:hAnsi="宋体"/>
                <w:kern w:val="44"/>
                <w:sz w:val="18"/>
                <w:szCs w:val="26"/>
              </w:rPr>
              <w:t>名称</w:t>
            </w:r>
          </w:p>
        </w:tc>
      </w:tr>
      <w:tr w14:paraId="1A419F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3" w:hRule="atLeast"/>
        </w:trPr>
        <w:tc>
          <w:tcPr>
            <w:tcW w:w="1576" w:type="dxa"/>
            <w:vAlign w:val="center"/>
          </w:tcPr>
          <w:p w14:paraId="5978479F">
            <w:pPr>
              <w:spacing w:line="240" w:lineRule="auto"/>
              <w:jc w:val="center"/>
              <w:rPr>
                <w:rFonts w:ascii="宋体" w:hAnsi="宋体"/>
                <w:kern w:val="44"/>
                <w:sz w:val="18"/>
                <w:szCs w:val="26"/>
              </w:rPr>
            </w:pPr>
            <w:r>
              <w:rPr>
                <w:rFonts w:ascii="宋体" w:hAnsi="宋体"/>
                <w:kern w:val="44"/>
                <w:sz w:val="18"/>
                <w:szCs w:val="26"/>
              </w:rPr>
              <w:t>10</w:t>
            </w:r>
          </w:p>
        </w:tc>
        <w:tc>
          <w:tcPr>
            <w:tcW w:w="2214" w:type="dxa"/>
            <w:vAlign w:val="center"/>
          </w:tcPr>
          <w:p w14:paraId="7660894F">
            <w:pPr>
              <w:spacing w:line="240" w:lineRule="auto"/>
              <w:jc w:val="center"/>
              <w:rPr>
                <w:rFonts w:ascii="宋体" w:hAnsi="宋体"/>
                <w:kern w:val="44"/>
                <w:sz w:val="18"/>
                <w:szCs w:val="26"/>
              </w:rPr>
            </w:pPr>
            <w:r>
              <w:rPr>
                <w:rFonts w:hint="eastAsia" w:ascii="宋体" w:hAnsi="宋体"/>
                <w:kern w:val="44"/>
                <w:sz w:val="18"/>
                <w:szCs w:val="26"/>
              </w:rPr>
              <w:t>批号</w:t>
            </w:r>
          </w:p>
        </w:tc>
        <w:tc>
          <w:tcPr>
            <w:tcW w:w="1108" w:type="dxa"/>
            <w:vAlign w:val="center"/>
          </w:tcPr>
          <w:p w14:paraId="708080C6">
            <w:pPr>
              <w:spacing w:line="240" w:lineRule="auto"/>
              <w:jc w:val="center"/>
              <w:rPr>
                <w:rFonts w:ascii="宋体" w:hAnsi="宋体"/>
                <w:kern w:val="44"/>
                <w:sz w:val="18"/>
                <w:szCs w:val="26"/>
              </w:rPr>
            </w:pPr>
            <w:r>
              <w:rPr>
                <w:rFonts w:hint="eastAsia" w:ascii="宋体" w:hAnsi="宋体"/>
                <w:kern w:val="44"/>
                <w:sz w:val="18"/>
                <w:szCs w:val="26"/>
              </w:rPr>
              <w:t>N2</w:t>
            </w:r>
          </w:p>
        </w:tc>
        <w:tc>
          <w:tcPr>
            <w:tcW w:w="2055" w:type="dxa"/>
            <w:vAlign w:val="center"/>
          </w:tcPr>
          <w:p w14:paraId="0CD92D7C">
            <w:pPr>
              <w:spacing w:line="240" w:lineRule="auto"/>
              <w:jc w:val="center"/>
              <w:rPr>
                <w:rFonts w:ascii="宋体" w:hAnsi="宋体"/>
                <w:kern w:val="44"/>
                <w:sz w:val="18"/>
                <w:szCs w:val="26"/>
              </w:rPr>
            </w:pPr>
            <w:r>
              <w:rPr>
                <w:rFonts w:ascii="宋体" w:hAnsi="宋体"/>
                <w:kern w:val="44"/>
                <w:sz w:val="18"/>
                <w:szCs w:val="26"/>
              </w:rPr>
              <w:t>X..20</w:t>
            </w:r>
          </w:p>
        </w:tc>
        <w:tc>
          <w:tcPr>
            <w:tcW w:w="2414" w:type="dxa"/>
            <w:vAlign w:val="center"/>
          </w:tcPr>
          <w:p w14:paraId="02B2A3C6">
            <w:pPr>
              <w:spacing w:line="240" w:lineRule="auto"/>
              <w:jc w:val="center"/>
              <w:rPr>
                <w:rFonts w:ascii="宋体" w:hAnsi="宋体"/>
                <w:kern w:val="44"/>
                <w:sz w:val="18"/>
                <w:szCs w:val="26"/>
              </w:rPr>
            </w:pPr>
            <w:r>
              <w:rPr>
                <w:rFonts w:hint="eastAsia" w:ascii="宋体" w:hAnsi="宋体"/>
                <w:kern w:val="44"/>
                <w:sz w:val="18"/>
                <w:szCs w:val="26"/>
              </w:rPr>
              <w:t>B</w:t>
            </w:r>
            <w:r>
              <w:rPr>
                <w:rFonts w:ascii="宋体" w:hAnsi="宋体"/>
                <w:kern w:val="44"/>
                <w:sz w:val="18"/>
                <w:szCs w:val="26"/>
              </w:rPr>
              <w:t>atch or lot number</w:t>
            </w:r>
          </w:p>
        </w:tc>
      </w:tr>
    </w:tbl>
    <w:p w14:paraId="628FB5CE">
      <w:pPr>
        <w:pStyle w:val="59"/>
        <w:ind w:firstLine="420"/>
      </w:pPr>
    </w:p>
    <w:p w14:paraId="3E3E904E">
      <w:pPr>
        <w:pStyle w:val="59"/>
        <w:spacing w:before="120" w:beforeLines="50" w:after="120" w:afterLines="50"/>
        <w:ind w:firstLine="0" w:firstLineChars="0"/>
        <w:jc w:val="center"/>
        <w:rPr>
          <w:rFonts w:ascii="黑体" w:hAnsi="黑体" w:eastAsia="黑体"/>
        </w:rPr>
      </w:pPr>
      <w:r>
        <w:rPr>
          <w:rFonts w:hint="eastAsia" w:ascii="黑体" w:hAnsi="黑体" w:eastAsia="黑体"/>
        </w:rPr>
        <w:t>表5  GS1应用标识符</w:t>
      </w:r>
      <w:r>
        <w:rPr>
          <w:rFonts w:hint="eastAsia" w:hAnsi="宋体"/>
        </w:rPr>
        <w:t>（续）</w:t>
      </w:r>
    </w:p>
    <w:tbl>
      <w:tblPr>
        <w:tblStyle w:val="29"/>
        <w:tblW w:w="9367"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576"/>
        <w:gridCol w:w="2214"/>
        <w:gridCol w:w="1108"/>
        <w:gridCol w:w="2055"/>
        <w:gridCol w:w="2414"/>
      </w:tblGrid>
      <w:tr w14:paraId="0EDCA1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3" w:hRule="atLeast"/>
        </w:trPr>
        <w:tc>
          <w:tcPr>
            <w:tcW w:w="1576" w:type="dxa"/>
            <w:tcBorders>
              <w:top w:val="single" w:color="auto" w:sz="8" w:space="0"/>
              <w:bottom w:val="single" w:color="auto" w:sz="8" w:space="0"/>
            </w:tcBorders>
            <w:shd w:val="clear" w:color="auto" w:fill="D8D8D8" w:themeFill="background1" w:themeFillShade="D9"/>
            <w:vAlign w:val="center"/>
          </w:tcPr>
          <w:p w14:paraId="0132CC78">
            <w:pPr>
              <w:spacing w:line="240" w:lineRule="auto"/>
              <w:jc w:val="center"/>
              <w:rPr>
                <w:rFonts w:ascii="宋体" w:hAnsi="宋体"/>
                <w:kern w:val="44"/>
                <w:sz w:val="18"/>
                <w:szCs w:val="26"/>
              </w:rPr>
            </w:pPr>
            <w:r>
              <w:rPr>
                <w:rFonts w:hint="eastAsia" w:ascii="宋体" w:hAnsi="宋体"/>
                <w:kern w:val="44"/>
                <w:sz w:val="18"/>
                <w:szCs w:val="26"/>
              </w:rPr>
              <w:t>应用标识符</w:t>
            </w:r>
          </w:p>
          <w:p w14:paraId="14DAB9B0">
            <w:pPr>
              <w:spacing w:line="240" w:lineRule="auto"/>
              <w:jc w:val="center"/>
              <w:rPr>
                <w:rFonts w:ascii="宋体" w:hAnsi="宋体"/>
                <w:kern w:val="44"/>
                <w:sz w:val="18"/>
                <w:szCs w:val="26"/>
              </w:rPr>
            </w:pPr>
            <w:r>
              <w:rPr>
                <w:rFonts w:hint="eastAsia" w:ascii="宋体" w:hAnsi="宋体"/>
                <w:kern w:val="44"/>
                <w:sz w:val="18"/>
                <w:szCs w:val="26"/>
              </w:rPr>
              <w:t>（AI</w:t>
            </w:r>
            <w:r>
              <w:rPr>
                <w:rFonts w:ascii="宋体" w:hAnsi="宋体"/>
                <w:kern w:val="44"/>
                <w:sz w:val="18"/>
                <w:szCs w:val="26"/>
              </w:rPr>
              <w:t>）</w:t>
            </w:r>
          </w:p>
        </w:tc>
        <w:tc>
          <w:tcPr>
            <w:tcW w:w="2214" w:type="dxa"/>
            <w:tcBorders>
              <w:top w:val="single" w:color="auto" w:sz="8" w:space="0"/>
              <w:bottom w:val="single" w:color="auto" w:sz="8" w:space="0"/>
            </w:tcBorders>
            <w:shd w:val="clear" w:color="auto" w:fill="D8D8D8" w:themeFill="background1" w:themeFillShade="D9"/>
            <w:vAlign w:val="center"/>
          </w:tcPr>
          <w:p w14:paraId="26126138">
            <w:pPr>
              <w:spacing w:line="240" w:lineRule="auto"/>
              <w:jc w:val="center"/>
              <w:rPr>
                <w:rFonts w:ascii="宋体" w:hAnsi="宋体"/>
                <w:kern w:val="44"/>
                <w:sz w:val="18"/>
                <w:szCs w:val="26"/>
              </w:rPr>
            </w:pPr>
            <w:r>
              <w:rPr>
                <w:rFonts w:hint="eastAsia" w:ascii="宋体" w:hAnsi="宋体"/>
                <w:kern w:val="44"/>
                <w:sz w:val="18"/>
                <w:szCs w:val="26"/>
              </w:rPr>
              <w:t>属性信息含义</w:t>
            </w:r>
          </w:p>
        </w:tc>
        <w:tc>
          <w:tcPr>
            <w:tcW w:w="1108" w:type="dxa"/>
            <w:tcBorders>
              <w:top w:val="single" w:color="auto" w:sz="8" w:space="0"/>
              <w:bottom w:val="single" w:color="auto" w:sz="8" w:space="0"/>
            </w:tcBorders>
            <w:shd w:val="clear" w:color="auto" w:fill="D8D8D8" w:themeFill="background1" w:themeFillShade="D9"/>
            <w:vAlign w:val="center"/>
          </w:tcPr>
          <w:p w14:paraId="2A285CE0">
            <w:pPr>
              <w:spacing w:line="240" w:lineRule="auto"/>
              <w:jc w:val="center"/>
              <w:rPr>
                <w:rFonts w:ascii="宋体" w:hAnsi="宋体"/>
                <w:kern w:val="44"/>
                <w:sz w:val="18"/>
                <w:szCs w:val="26"/>
              </w:rPr>
            </w:pPr>
            <w:r>
              <w:rPr>
                <w:rFonts w:hint="eastAsia" w:ascii="宋体" w:hAnsi="宋体"/>
                <w:kern w:val="44"/>
                <w:sz w:val="18"/>
                <w:szCs w:val="26"/>
              </w:rPr>
              <w:t>AI格式</w:t>
            </w:r>
          </w:p>
        </w:tc>
        <w:tc>
          <w:tcPr>
            <w:tcW w:w="2055" w:type="dxa"/>
            <w:tcBorders>
              <w:top w:val="single" w:color="auto" w:sz="8" w:space="0"/>
              <w:bottom w:val="single" w:color="auto" w:sz="8" w:space="0"/>
            </w:tcBorders>
            <w:shd w:val="clear" w:color="auto" w:fill="D8D8D8" w:themeFill="background1" w:themeFillShade="D9"/>
            <w:vAlign w:val="center"/>
          </w:tcPr>
          <w:p w14:paraId="697FD00E">
            <w:pPr>
              <w:spacing w:line="240" w:lineRule="auto"/>
              <w:jc w:val="center"/>
              <w:rPr>
                <w:rFonts w:ascii="宋体" w:hAnsi="宋体"/>
                <w:kern w:val="44"/>
                <w:sz w:val="18"/>
                <w:szCs w:val="26"/>
              </w:rPr>
            </w:pPr>
            <w:r>
              <w:rPr>
                <w:rFonts w:hint="eastAsia" w:ascii="宋体" w:hAnsi="宋体"/>
                <w:kern w:val="44"/>
                <w:sz w:val="18"/>
                <w:szCs w:val="26"/>
              </w:rPr>
              <w:t>AI数据字段格式</w:t>
            </w:r>
          </w:p>
        </w:tc>
        <w:tc>
          <w:tcPr>
            <w:tcW w:w="2414" w:type="dxa"/>
            <w:tcBorders>
              <w:top w:val="single" w:color="auto" w:sz="8" w:space="0"/>
              <w:bottom w:val="single" w:color="auto" w:sz="8" w:space="0"/>
            </w:tcBorders>
            <w:shd w:val="clear" w:color="auto" w:fill="D8D8D8" w:themeFill="background1" w:themeFillShade="D9"/>
            <w:vAlign w:val="center"/>
          </w:tcPr>
          <w:p w14:paraId="675DA700">
            <w:pPr>
              <w:spacing w:line="240" w:lineRule="auto"/>
              <w:jc w:val="center"/>
              <w:rPr>
                <w:rFonts w:ascii="宋体" w:hAnsi="宋体"/>
                <w:kern w:val="44"/>
                <w:sz w:val="18"/>
                <w:szCs w:val="26"/>
              </w:rPr>
            </w:pPr>
            <w:r>
              <w:rPr>
                <w:rFonts w:hint="eastAsia" w:ascii="宋体" w:hAnsi="宋体"/>
                <w:kern w:val="44"/>
                <w:sz w:val="18"/>
                <w:szCs w:val="26"/>
              </w:rPr>
              <w:t>英文</w:t>
            </w:r>
            <w:r>
              <w:rPr>
                <w:rFonts w:ascii="宋体" w:hAnsi="宋体"/>
                <w:kern w:val="44"/>
                <w:sz w:val="18"/>
                <w:szCs w:val="26"/>
              </w:rPr>
              <w:t>名称</w:t>
            </w:r>
          </w:p>
        </w:tc>
      </w:tr>
      <w:tr w14:paraId="47092C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3" w:hRule="atLeast"/>
        </w:trPr>
        <w:tc>
          <w:tcPr>
            <w:tcW w:w="1576" w:type="dxa"/>
            <w:vAlign w:val="center"/>
          </w:tcPr>
          <w:p w14:paraId="412DEC3F">
            <w:pPr>
              <w:spacing w:line="240" w:lineRule="auto"/>
              <w:jc w:val="center"/>
              <w:rPr>
                <w:rFonts w:ascii="宋体" w:hAnsi="宋体"/>
                <w:kern w:val="44"/>
                <w:sz w:val="18"/>
                <w:szCs w:val="26"/>
              </w:rPr>
            </w:pPr>
            <w:r>
              <w:rPr>
                <w:rFonts w:hint="eastAsia" w:ascii="宋体" w:hAnsi="宋体"/>
                <w:kern w:val="44"/>
                <w:sz w:val="18"/>
                <w:szCs w:val="26"/>
              </w:rPr>
              <w:t>11</w:t>
            </w:r>
          </w:p>
        </w:tc>
        <w:tc>
          <w:tcPr>
            <w:tcW w:w="2214" w:type="dxa"/>
            <w:vAlign w:val="center"/>
          </w:tcPr>
          <w:p w14:paraId="19CD00CF">
            <w:pPr>
              <w:spacing w:line="240" w:lineRule="auto"/>
              <w:jc w:val="center"/>
              <w:rPr>
                <w:rFonts w:ascii="宋体" w:hAnsi="宋体"/>
                <w:kern w:val="44"/>
                <w:sz w:val="18"/>
                <w:szCs w:val="26"/>
              </w:rPr>
            </w:pPr>
            <w:r>
              <w:rPr>
                <w:rFonts w:hint="eastAsia" w:ascii="宋体" w:hAnsi="宋体"/>
                <w:kern w:val="44"/>
                <w:sz w:val="18"/>
                <w:szCs w:val="26"/>
              </w:rPr>
              <w:t>生产日期</w:t>
            </w:r>
          </w:p>
        </w:tc>
        <w:tc>
          <w:tcPr>
            <w:tcW w:w="1108" w:type="dxa"/>
            <w:vAlign w:val="center"/>
          </w:tcPr>
          <w:p w14:paraId="68A4C975">
            <w:pPr>
              <w:spacing w:line="240" w:lineRule="auto"/>
              <w:jc w:val="center"/>
              <w:rPr>
                <w:rFonts w:ascii="宋体" w:hAnsi="宋体"/>
                <w:kern w:val="44"/>
                <w:sz w:val="18"/>
                <w:szCs w:val="26"/>
              </w:rPr>
            </w:pPr>
            <w:r>
              <w:rPr>
                <w:rFonts w:hint="eastAsia" w:ascii="宋体" w:hAnsi="宋体"/>
                <w:kern w:val="44"/>
                <w:sz w:val="18"/>
                <w:szCs w:val="26"/>
              </w:rPr>
              <w:t>N2</w:t>
            </w:r>
          </w:p>
        </w:tc>
        <w:tc>
          <w:tcPr>
            <w:tcW w:w="2055" w:type="dxa"/>
            <w:vAlign w:val="center"/>
          </w:tcPr>
          <w:p w14:paraId="14D1798E">
            <w:pPr>
              <w:spacing w:line="240" w:lineRule="auto"/>
              <w:jc w:val="center"/>
              <w:rPr>
                <w:rFonts w:ascii="宋体" w:hAnsi="宋体"/>
                <w:kern w:val="44"/>
                <w:sz w:val="18"/>
              </w:rPr>
            </w:pPr>
            <w:r>
              <w:rPr>
                <w:rFonts w:hint="eastAsia" w:ascii="宋体" w:hAnsi="宋体"/>
                <w:kern w:val="44"/>
                <w:sz w:val="18"/>
                <w:szCs w:val="26"/>
              </w:rPr>
              <w:t>N</w:t>
            </w:r>
            <w:r>
              <w:rPr>
                <w:rFonts w:ascii="宋体" w:hAnsi="宋体"/>
                <w:kern w:val="44"/>
                <w:sz w:val="18"/>
                <w:szCs w:val="26"/>
              </w:rPr>
              <w:t>6</w:t>
            </w:r>
          </w:p>
        </w:tc>
        <w:tc>
          <w:tcPr>
            <w:tcW w:w="2414" w:type="dxa"/>
            <w:vAlign w:val="center"/>
          </w:tcPr>
          <w:p w14:paraId="4330ED37">
            <w:pPr>
              <w:spacing w:line="240" w:lineRule="auto"/>
              <w:jc w:val="center"/>
              <w:rPr>
                <w:rFonts w:ascii="宋体" w:hAnsi="宋体"/>
                <w:kern w:val="44"/>
                <w:sz w:val="18"/>
                <w:szCs w:val="26"/>
              </w:rPr>
            </w:pPr>
            <w:r>
              <w:rPr>
                <w:rFonts w:hint="eastAsia" w:ascii="宋体" w:hAnsi="宋体"/>
                <w:kern w:val="44"/>
                <w:sz w:val="18"/>
                <w:szCs w:val="26"/>
              </w:rPr>
              <w:t>P</w:t>
            </w:r>
            <w:r>
              <w:rPr>
                <w:rFonts w:ascii="宋体" w:hAnsi="宋体"/>
                <w:kern w:val="44"/>
                <w:sz w:val="18"/>
                <w:szCs w:val="26"/>
              </w:rPr>
              <w:t>roduction date（</w:t>
            </w:r>
            <w:r>
              <w:rPr>
                <w:rFonts w:hint="eastAsia" w:ascii="宋体" w:hAnsi="宋体"/>
                <w:kern w:val="44"/>
                <w:sz w:val="18"/>
                <w:szCs w:val="26"/>
              </w:rPr>
              <w:t>YYMMDD</w:t>
            </w:r>
            <w:r>
              <w:rPr>
                <w:rFonts w:ascii="宋体" w:hAnsi="宋体"/>
                <w:kern w:val="44"/>
                <w:sz w:val="18"/>
                <w:szCs w:val="26"/>
              </w:rPr>
              <w:t>）</w:t>
            </w:r>
          </w:p>
        </w:tc>
      </w:tr>
      <w:tr w14:paraId="6C6CEF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3" w:hRule="atLeast"/>
        </w:trPr>
        <w:tc>
          <w:tcPr>
            <w:tcW w:w="1576" w:type="dxa"/>
            <w:vAlign w:val="center"/>
          </w:tcPr>
          <w:p w14:paraId="45F92197">
            <w:pPr>
              <w:spacing w:line="240" w:lineRule="auto"/>
              <w:jc w:val="center"/>
              <w:rPr>
                <w:rFonts w:ascii="宋体" w:hAnsi="宋体"/>
                <w:kern w:val="44"/>
                <w:sz w:val="18"/>
                <w:szCs w:val="26"/>
              </w:rPr>
            </w:pPr>
            <w:r>
              <w:rPr>
                <w:rFonts w:hint="eastAsia" w:ascii="宋体" w:hAnsi="宋体"/>
                <w:kern w:val="44"/>
                <w:sz w:val="18"/>
                <w:szCs w:val="26"/>
              </w:rPr>
              <w:t>17</w:t>
            </w:r>
          </w:p>
        </w:tc>
        <w:tc>
          <w:tcPr>
            <w:tcW w:w="2214" w:type="dxa"/>
            <w:vAlign w:val="center"/>
          </w:tcPr>
          <w:p w14:paraId="018A8436">
            <w:pPr>
              <w:spacing w:line="240" w:lineRule="auto"/>
              <w:jc w:val="center"/>
              <w:rPr>
                <w:rFonts w:ascii="宋体" w:hAnsi="宋体"/>
                <w:kern w:val="44"/>
                <w:sz w:val="18"/>
                <w:szCs w:val="26"/>
              </w:rPr>
            </w:pPr>
            <w:r>
              <w:rPr>
                <w:rFonts w:hint="eastAsia" w:ascii="宋体" w:hAnsi="宋体"/>
                <w:kern w:val="44"/>
                <w:sz w:val="18"/>
                <w:szCs w:val="26"/>
              </w:rPr>
              <w:t>有效期</w:t>
            </w:r>
          </w:p>
        </w:tc>
        <w:tc>
          <w:tcPr>
            <w:tcW w:w="1108" w:type="dxa"/>
            <w:vAlign w:val="center"/>
          </w:tcPr>
          <w:p w14:paraId="39FEC3BD">
            <w:pPr>
              <w:spacing w:line="240" w:lineRule="auto"/>
              <w:jc w:val="center"/>
              <w:rPr>
                <w:rFonts w:ascii="宋体" w:hAnsi="宋体"/>
                <w:kern w:val="44"/>
                <w:sz w:val="18"/>
                <w:szCs w:val="26"/>
              </w:rPr>
            </w:pPr>
            <w:r>
              <w:rPr>
                <w:rFonts w:hint="eastAsia" w:ascii="宋体" w:hAnsi="宋体"/>
                <w:kern w:val="44"/>
                <w:sz w:val="18"/>
                <w:szCs w:val="26"/>
              </w:rPr>
              <w:t>N2</w:t>
            </w:r>
          </w:p>
        </w:tc>
        <w:tc>
          <w:tcPr>
            <w:tcW w:w="2055" w:type="dxa"/>
            <w:vAlign w:val="center"/>
          </w:tcPr>
          <w:p w14:paraId="7DA8055F">
            <w:pPr>
              <w:spacing w:line="240" w:lineRule="auto"/>
              <w:jc w:val="center"/>
              <w:rPr>
                <w:rFonts w:ascii="宋体" w:hAnsi="宋体"/>
                <w:kern w:val="44"/>
                <w:sz w:val="18"/>
              </w:rPr>
            </w:pPr>
            <w:r>
              <w:rPr>
                <w:rFonts w:hint="eastAsia" w:ascii="宋体" w:hAnsi="宋体"/>
                <w:kern w:val="44"/>
                <w:sz w:val="18"/>
                <w:szCs w:val="26"/>
              </w:rPr>
              <w:t>N</w:t>
            </w:r>
            <w:r>
              <w:rPr>
                <w:rFonts w:ascii="宋体" w:hAnsi="宋体"/>
                <w:kern w:val="44"/>
                <w:sz w:val="18"/>
                <w:szCs w:val="26"/>
              </w:rPr>
              <w:t>6</w:t>
            </w:r>
          </w:p>
        </w:tc>
        <w:tc>
          <w:tcPr>
            <w:tcW w:w="2414" w:type="dxa"/>
            <w:vAlign w:val="center"/>
          </w:tcPr>
          <w:p w14:paraId="31E2FF67">
            <w:pPr>
              <w:spacing w:line="240" w:lineRule="auto"/>
              <w:jc w:val="center"/>
              <w:rPr>
                <w:rFonts w:ascii="宋体" w:hAnsi="宋体"/>
                <w:kern w:val="44"/>
                <w:sz w:val="18"/>
                <w:szCs w:val="26"/>
              </w:rPr>
            </w:pPr>
            <w:r>
              <w:rPr>
                <w:rFonts w:ascii="宋体" w:hAnsi="宋体"/>
                <w:kern w:val="44"/>
                <w:sz w:val="18"/>
                <w:szCs w:val="26"/>
              </w:rPr>
              <w:t>Expiration date（</w:t>
            </w:r>
            <w:r>
              <w:rPr>
                <w:rFonts w:hint="eastAsia" w:ascii="宋体" w:hAnsi="宋体"/>
                <w:kern w:val="44"/>
                <w:sz w:val="18"/>
                <w:szCs w:val="26"/>
              </w:rPr>
              <w:t>YYMMDD</w:t>
            </w:r>
            <w:r>
              <w:rPr>
                <w:rFonts w:ascii="宋体" w:hAnsi="宋体"/>
                <w:kern w:val="44"/>
                <w:sz w:val="18"/>
                <w:szCs w:val="26"/>
              </w:rPr>
              <w:t>）</w:t>
            </w:r>
          </w:p>
        </w:tc>
      </w:tr>
      <w:tr w14:paraId="39DE50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3" w:hRule="atLeast"/>
        </w:trPr>
        <w:tc>
          <w:tcPr>
            <w:tcW w:w="1576" w:type="dxa"/>
            <w:vAlign w:val="center"/>
          </w:tcPr>
          <w:p w14:paraId="2A3A6B71">
            <w:pPr>
              <w:spacing w:line="240" w:lineRule="auto"/>
              <w:jc w:val="center"/>
              <w:rPr>
                <w:rFonts w:ascii="宋体" w:hAnsi="宋体"/>
                <w:kern w:val="44"/>
                <w:sz w:val="18"/>
                <w:szCs w:val="26"/>
              </w:rPr>
            </w:pPr>
            <w:r>
              <w:rPr>
                <w:rFonts w:hint="eastAsia" w:ascii="宋体" w:hAnsi="宋体"/>
                <w:kern w:val="44"/>
                <w:sz w:val="18"/>
                <w:szCs w:val="26"/>
              </w:rPr>
              <w:t>21</w:t>
            </w:r>
          </w:p>
        </w:tc>
        <w:tc>
          <w:tcPr>
            <w:tcW w:w="2214" w:type="dxa"/>
            <w:vAlign w:val="center"/>
          </w:tcPr>
          <w:p w14:paraId="1E38A199">
            <w:pPr>
              <w:spacing w:line="240" w:lineRule="auto"/>
              <w:jc w:val="center"/>
              <w:rPr>
                <w:rFonts w:ascii="宋体" w:hAnsi="宋体"/>
                <w:kern w:val="44"/>
                <w:sz w:val="18"/>
                <w:szCs w:val="26"/>
              </w:rPr>
            </w:pPr>
            <w:r>
              <w:rPr>
                <w:rFonts w:hint="eastAsia" w:ascii="宋体" w:hAnsi="宋体"/>
                <w:kern w:val="44"/>
                <w:sz w:val="18"/>
                <w:szCs w:val="26"/>
              </w:rPr>
              <w:t>系列号</w:t>
            </w:r>
          </w:p>
        </w:tc>
        <w:tc>
          <w:tcPr>
            <w:tcW w:w="1108" w:type="dxa"/>
            <w:vAlign w:val="center"/>
          </w:tcPr>
          <w:p w14:paraId="7D9C325C">
            <w:pPr>
              <w:spacing w:line="240" w:lineRule="auto"/>
              <w:jc w:val="center"/>
              <w:rPr>
                <w:rFonts w:ascii="宋体" w:hAnsi="宋体"/>
                <w:kern w:val="44"/>
                <w:sz w:val="18"/>
                <w:szCs w:val="26"/>
              </w:rPr>
            </w:pPr>
            <w:r>
              <w:rPr>
                <w:rFonts w:hint="eastAsia" w:ascii="宋体" w:hAnsi="宋体"/>
                <w:kern w:val="44"/>
                <w:sz w:val="18"/>
                <w:szCs w:val="26"/>
              </w:rPr>
              <w:t>N2</w:t>
            </w:r>
          </w:p>
        </w:tc>
        <w:tc>
          <w:tcPr>
            <w:tcW w:w="2055" w:type="dxa"/>
            <w:vAlign w:val="center"/>
          </w:tcPr>
          <w:p w14:paraId="6C44F412">
            <w:pPr>
              <w:spacing w:line="240" w:lineRule="auto"/>
              <w:jc w:val="center"/>
              <w:rPr>
                <w:rFonts w:ascii="宋体" w:hAnsi="宋体"/>
                <w:kern w:val="44"/>
                <w:sz w:val="18"/>
              </w:rPr>
            </w:pPr>
            <w:r>
              <w:rPr>
                <w:rFonts w:ascii="宋体" w:hAnsi="宋体"/>
                <w:kern w:val="44"/>
                <w:sz w:val="18"/>
                <w:szCs w:val="26"/>
              </w:rPr>
              <w:t>X..20</w:t>
            </w:r>
          </w:p>
        </w:tc>
        <w:tc>
          <w:tcPr>
            <w:tcW w:w="2414" w:type="dxa"/>
            <w:vAlign w:val="center"/>
          </w:tcPr>
          <w:p w14:paraId="2C545219">
            <w:pPr>
              <w:spacing w:line="240" w:lineRule="auto"/>
              <w:jc w:val="center"/>
              <w:rPr>
                <w:rFonts w:ascii="宋体" w:hAnsi="宋体"/>
                <w:kern w:val="44"/>
                <w:sz w:val="18"/>
                <w:szCs w:val="26"/>
              </w:rPr>
            </w:pPr>
            <w:r>
              <w:rPr>
                <w:rFonts w:hint="eastAsia" w:ascii="宋体" w:hAnsi="宋体"/>
                <w:kern w:val="44"/>
                <w:sz w:val="18"/>
                <w:szCs w:val="26"/>
              </w:rPr>
              <w:t>S</w:t>
            </w:r>
            <w:r>
              <w:rPr>
                <w:rFonts w:ascii="宋体" w:hAnsi="宋体"/>
                <w:kern w:val="44"/>
                <w:sz w:val="18"/>
                <w:szCs w:val="26"/>
              </w:rPr>
              <w:t>erial number</w:t>
            </w:r>
          </w:p>
        </w:tc>
      </w:tr>
      <w:tr w14:paraId="1DE8CB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3" w:hRule="atLeast"/>
        </w:trPr>
        <w:tc>
          <w:tcPr>
            <w:tcW w:w="1576" w:type="dxa"/>
            <w:vAlign w:val="center"/>
          </w:tcPr>
          <w:p w14:paraId="20CE28B5">
            <w:pPr>
              <w:spacing w:line="240" w:lineRule="auto"/>
              <w:jc w:val="center"/>
              <w:rPr>
                <w:rFonts w:ascii="宋体" w:hAnsi="宋体"/>
                <w:kern w:val="44"/>
                <w:sz w:val="18"/>
                <w:szCs w:val="26"/>
              </w:rPr>
            </w:pPr>
            <w:r>
              <w:rPr>
                <w:rFonts w:hint="eastAsia" w:ascii="宋体" w:hAnsi="宋体"/>
                <w:kern w:val="44"/>
                <w:sz w:val="18"/>
                <w:szCs w:val="26"/>
              </w:rPr>
              <w:t>91</w:t>
            </w:r>
          </w:p>
        </w:tc>
        <w:tc>
          <w:tcPr>
            <w:tcW w:w="2214" w:type="dxa"/>
            <w:vAlign w:val="center"/>
          </w:tcPr>
          <w:p w14:paraId="1FFC5AA2">
            <w:pPr>
              <w:spacing w:line="240" w:lineRule="auto"/>
              <w:jc w:val="center"/>
              <w:rPr>
                <w:rFonts w:ascii="宋体" w:hAnsi="宋体"/>
                <w:kern w:val="44"/>
                <w:sz w:val="18"/>
                <w:szCs w:val="26"/>
              </w:rPr>
            </w:pPr>
            <w:r>
              <w:rPr>
                <w:rFonts w:hint="eastAsia" w:ascii="宋体" w:hAnsi="宋体"/>
                <w:kern w:val="44"/>
                <w:sz w:val="18"/>
                <w:szCs w:val="26"/>
              </w:rPr>
              <w:t>公司内部信息</w:t>
            </w:r>
          </w:p>
        </w:tc>
        <w:tc>
          <w:tcPr>
            <w:tcW w:w="1108" w:type="dxa"/>
            <w:vAlign w:val="center"/>
          </w:tcPr>
          <w:p w14:paraId="2F2DB924">
            <w:pPr>
              <w:spacing w:line="240" w:lineRule="auto"/>
              <w:jc w:val="center"/>
              <w:rPr>
                <w:rFonts w:ascii="宋体" w:hAnsi="宋体"/>
                <w:kern w:val="44"/>
                <w:sz w:val="18"/>
                <w:szCs w:val="26"/>
              </w:rPr>
            </w:pPr>
            <w:r>
              <w:rPr>
                <w:rFonts w:hint="eastAsia" w:ascii="宋体" w:hAnsi="宋体"/>
                <w:kern w:val="44"/>
                <w:sz w:val="18"/>
                <w:szCs w:val="26"/>
              </w:rPr>
              <w:t>N2</w:t>
            </w:r>
          </w:p>
        </w:tc>
        <w:tc>
          <w:tcPr>
            <w:tcW w:w="2055" w:type="dxa"/>
            <w:vAlign w:val="center"/>
          </w:tcPr>
          <w:p w14:paraId="08246E14">
            <w:pPr>
              <w:spacing w:line="240" w:lineRule="auto"/>
              <w:jc w:val="center"/>
              <w:rPr>
                <w:rFonts w:ascii="宋体" w:hAnsi="宋体"/>
                <w:kern w:val="44"/>
                <w:sz w:val="18"/>
              </w:rPr>
            </w:pPr>
            <w:r>
              <w:rPr>
                <w:rFonts w:ascii="宋体" w:hAnsi="宋体"/>
                <w:kern w:val="44"/>
                <w:sz w:val="18"/>
                <w:szCs w:val="26"/>
              </w:rPr>
              <w:t>X..90</w:t>
            </w:r>
          </w:p>
        </w:tc>
        <w:tc>
          <w:tcPr>
            <w:tcW w:w="2414" w:type="dxa"/>
            <w:vAlign w:val="center"/>
          </w:tcPr>
          <w:p w14:paraId="789F9A21">
            <w:pPr>
              <w:spacing w:line="240" w:lineRule="auto"/>
              <w:jc w:val="center"/>
              <w:rPr>
                <w:rFonts w:ascii="宋体" w:hAnsi="宋体"/>
                <w:kern w:val="44"/>
                <w:sz w:val="18"/>
                <w:szCs w:val="26"/>
              </w:rPr>
            </w:pPr>
            <w:r>
              <w:rPr>
                <w:rFonts w:hint="eastAsia" w:ascii="宋体" w:hAnsi="宋体"/>
                <w:kern w:val="44"/>
                <w:sz w:val="18"/>
                <w:szCs w:val="26"/>
              </w:rPr>
              <w:t>C</w:t>
            </w:r>
            <w:r>
              <w:rPr>
                <w:rFonts w:ascii="宋体" w:hAnsi="宋体"/>
                <w:kern w:val="44"/>
                <w:sz w:val="18"/>
                <w:szCs w:val="26"/>
              </w:rPr>
              <w:t>ompany internal information</w:t>
            </w:r>
          </w:p>
        </w:tc>
      </w:tr>
      <w:tr w14:paraId="0013E0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3" w:hRule="atLeast"/>
        </w:trPr>
        <w:tc>
          <w:tcPr>
            <w:tcW w:w="9367" w:type="dxa"/>
            <w:gridSpan w:val="5"/>
            <w:vAlign w:val="center"/>
          </w:tcPr>
          <w:p w14:paraId="06E3A774">
            <w:pPr>
              <w:pStyle w:val="183"/>
              <w:numPr>
                <w:ilvl w:val="0"/>
                <w:numId w:val="33"/>
              </w:numPr>
            </w:pPr>
            <w:r>
              <w:rPr>
                <w:rFonts w:hint="eastAsia"/>
              </w:rPr>
              <w:t>N表示0</w:t>
            </w:r>
            <w:r>
              <w:rPr>
                <w:rFonts w:ascii="Times New Roman"/>
              </w:rPr>
              <w:t>~</w:t>
            </w:r>
            <w:r>
              <w:rPr>
                <w:rFonts w:hint="eastAsia"/>
              </w:rPr>
              <w:t>9的任意数字字符，</w:t>
            </w:r>
            <w:r>
              <w:t>N6</w:t>
            </w:r>
            <w:r>
              <w:rPr>
                <w:rFonts w:hint="eastAsia"/>
              </w:rPr>
              <w:t>表示6位数字字符，定长。</w:t>
            </w:r>
          </w:p>
          <w:p w14:paraId="669BBFA4">
            <w:pPr>
              <w:pStyle w:val="183"/>
            </w:pPr>
            <w:r>
              <w:t>X</w:t>
            </w:r>
            <w:r>
              <w:rPr>
                <w:rFonts w:hint="eastAsia"/>
              </w:rPr>
              <w:t>表示任意字符，取值宜按照GB/T</w:t>
            </w:r>
            <w:r>
              <w:t xml:space="preserve"> 16986</w:t>
            </w:r>
            <w:r>
              <w:rPr>
                <w:rFonts w:hint="eastAsia"/>
              </w:rPr>
              <w:t>的规定B执行，</w:t>
            </w:r>
            <w:r>
              <w:t>X</w:t>
            </w:r>
            <w:r>
              <w:rPr>
                <w:rFonts w:hint="eastAsia"/>
              </w:rPr>
              <w:t>..p（p为自然数）表示最长为p的数字字符。</w:t>
            </w:r>
          </w:p>
        </w:tc>
      </w:tr>
    </w:tbl>
    <w:p w14:paraId="4C3DCBF0">
      <w:pPr>
        <w:pStyle w:val="107"/>
        <w:spacing w:before="240" w:after="240"/>
      </w:pPr>
      <w:bookmarkStart w:id="111" w:name="_Toc218781159"/>
      <w:bookmarkStart w:id="112" w:name="_Toc235521573"/>
      <w:bookmarkStart w:id="113" w:name="_Toc229239475"/>
      <w:bookmarkStart w:id="114" w:name="_Toc217395890"/>
      <w:bookmarkStart w:id="115" w:name="_Toc226108889"/>
      <w:bookmarkStart w:id="116" w:name="_Toc229239443"/>
      <w:bookmarkStart w:id="117" w:name="_Toc232582261"/>
      <w:r>
        <w:rPr>
          <w:rFonts w:hint="eastAsia"/>
        </w:rPr>
        <w:t>条码表示</w:t>
      </w:r>
      <w:bookmarkEnd w:id="111"/>
      <w:bookmarkEnd w:id="112"/>
      <w:bookmarkEnd w:id="113"/>
      <w:bookmarkEnd w:id="114"/>
      <w:bookmarkEnd w:id="115"/>
      <w:bookmarkEnd w:id="116"/>
      <w:bookmarkEnd w:id="117"/>
    </w:p>
    <w:p w14:paraId="6567BB4A">
      <w:pPr>
        <w:pStyle w:val="59"/>
        <w:ind w:firstLine="420"/>
      </w:pPr>
      <w:r>
        <w:rPr>
          <w:rFonts w:hint="eastAsia"/>
        </w:rPr>
        <w:t>MRO工业品的条码表示可采用一维条码、二维码，条码</w:t>
      </w:r>
      <w:r>
        <w:t>表示示例见附录</w:t>
      </w:r>
      <w:r>
        <w:rPr>
          <w:rFonts w:hint="eastAsia"/>
        </w:rPr>
        <w:t>A,码制选择宜根据实际需求，具体如下：</w:t>
      </w:r>
    </w:p>
    <w:p w14:paraId="5482B1AF">
      <w:pPr>
        <w:pStyle w:val="177"/>
      </w:pPr>
      <w:r>
        <w:rPr>
          <w:rFonts w:hint="eastAsia"/>
        </w:rPr>
        <w:t>13位代码的条码表示可采用一维条码、二维码，当用于商品上架时，一维条码采用 EAN-13 条码，按照GB 12904 的规定，当用于批发、配送及仓储等活动时，宜在13位代码前补零变成14位代码，一维条码采用ITF-14条码或GS1-128条码，宜分别</w:t>
      </w:r>
      <w:bookmarkStart w:id="118" w:name="OLE_LINK10"/>
      <w:r>
        <w:rPr>
          <w:rFonts w:hint="eastAsia"/>
        </w:rPr>
        <w:t>符合GB/T</w:t>
      </w:r>
      <w:bookmarkEnd w:id="118"/>
      <w:r>
        <w:rPr>
          <w:rFonts w:hint="eastAsia"/>
        </w:rPr>
        <w:t xml:space="preserve"> 16830、GB/T 15425 的规定；</w:t>
      </w:r>
    </w:p>
    <w:p w14:paraId="09403AB0">
      <w:pPr>
        <w:pStyle w:val="177"/>
      </w:pPr>
      <w:r>
        <w:rPr>
          <w:rFonts w:hint="eastAsia"/>
        </w:rPr>
        <w:t>14位代码的条码表示可采用 ITF-14 条码、GS1-128 条码，宜分别符合GB/T 16830、GB/T 15425的规定，也可采用二维码；</w:t>
      </w:r>
    </w:p>
    <w:p w14:paraId="6FAF4C0E">
      <w:pPr>
        <w:pStyle w:val="177"/>
      </w:pPr>
      <w:r>
        <w:rPr>
          <w:rFonts w:hint="eastAsia"/>
        </w:rPr>
        <w:t>含附加信息的MRO工业品编码条码表示可采用GS1-128条码，也可采用二维码；</w:t>
      </w:r>
    </w:p>
    <w:p w14:paraId="1E3B8D5D">
      <w:pPr>
        <w:pStyle w:val="177"/>
        <w:spacing w:before="240" w:after="240"/>
      </w:pPr>
      <w:r>
        <w:rPr>
          <w:rFonts w:hint="eastAsia"/>
        </w:rPr>
        <w:t>二维码宜采用GS1模式的快速响应矩阵码、数据矩阵码、汉信码，宜分别符合GB/T 18284、 GB/T 41208、GB/T 21049 的规定。</w:t>
      </w:r>
    </w:p>
    <w:p w14:paraId="2AC60ED9">
      <w:pPr>
        <w:pStyle w:val="107"/>
        <w:spacing w:before="240" w:after="240"/>
      </w:pPr>
      <w:bookmarkStart w:id="119" w:name="_bookmark8"/>
      <w:bookmarkEnd w:id="119"/>
      <w:bookmarkStart w:id="120" w:name="_Toc217395896"/>
      <w:bookmarkStart w:id="121" w:name="_Toc229239444"/>
      <w:bookmarkStart w:id="122" w:name="_Toc226108890"/>
      <w:bookmarkStart w:id="123" w:name="_Toc235521574"/>
      <w:bookmarkStart w:id="124" w:name="_Toc218781160"/>
      <w:bookmarkStart w:id="125" w:name="_Toc229239476"/>
      <w:bookmarkStart w:id="126" w:name="_Toc232582262"/>
      <w:r>
        <w:t>条码符号</w:t>
      </w:r>
      <w:bookmarkEnd w:id="120"/>
      <w:r>
        <w:rPr>
          <w:rFonts w:hint="eastAsia"/>
        </w:rPr>
        <w:t>质量控制</w:t>
      </w:r>
      <w:bookmarkEnd w:id="121"/>
      <w:bookmarkEnd w:id="122"/>
      <w:bookmarkEnd w:id="123"/>
      <w:bookmarkEnd w:id="124"/>
      <w:bookmarkEnd w:id="125"/>
      <w:bookmarkEnd w:id="126"/>
    </w:p>
    <w:p w14:paraId="159FE500">
      <w:pPr>
        <w:pStyle w:val="108"/>
        <w:spacing w:before="120" w:after="120"/>
      </w:pPr>
      <w:r>
        <w:rPr>
          <w:rFonts w:hint="eastAsia"/>
        </w:rPr>
        <w:t>尺寸</w:t>
      </w:r>
    </w:p>
    <w:p w14:paraId="5F3194C1">
      <w:pPr>
        <w:pStyle w:val="168"/>
      </w:pPr>
      <w:r>
        <w:rPr>
          <w:spacing w:val="-4"/>
        </w:rPr>
        <w:t>一维条码符号尺寸选择宜按可印刷面积、印刷条件和扫描环境等因素确定，</w:t>
      </w:r>
      <w:r>
        <w:rPr>
          <w:spacing w:val="-3"/>
        </w:rPr>
        <w:t>EAN-13</w:t>
      </w:r>
      <w:r>
        <w:rPr>
          <w:spacing w:val="-12"/>
        </w:rPr>
        <w:t xml:space="preserve"> 条码、</w:t>
      </w:r>
      <w:r>
        <w:t xml:space="preserve">ITF-14 </w:t>
      </w:r>
      <w:r>
        <w:rPr>
          <w:spacing w:val="-15"/>
        </w:rPr>
        <w:t xml:space="preserve">条码和 </w:t>
      </w:r>
      <w:r>
        <w:t>GS1-128</w:t>
      </w:r>
      <w:r>
        <w:rPr>
          <w:spacing w:val="-13"/>
        </w:rPr>
        <w:t xml:space="preserve"> 条码尺寸分别宜</w:t>
      </w:r>
      <w:r>
        <w:rPr>
          <w:rFonts w:hint="eastAsia"/>
        </w:rPr>
        <w:t>符合GB</w:t>
      </w:r>
      <w:r>
        <w:rPr>
          <w:spacing w:val="-2"/>
        </w:rPr>
        <w:t xml:space="preserve"> </w:t>
      </w:r>
      <w:r>
        <w:t>12904、GB/T 16830</w:t>
      </w:r>
      <w:r>
        <w:rPr>
          <w:spacing w:val="-37"/>
        </w:rPr>
        <w:t xml:space="preserve"> 和   </w:t>
      </w:r>
      <w:r>
        <w:t>GB/T 15425</w:t>
      </w:r>
      <w:r>
        <w:rPr>
          <w:spacing w:val="-3"/>
        </w:rPr>
        <w:t>。</w:t>
      </w:r>
      <w:r>
        <w:t xml:space="preserve"> </w:t>
      </w:r>
    </w:p>
    <w:p w14:paraId="1BCCFB21">
      <w:pPr>
        <w:pStyle w:val="168"/>
      </w:pPr>
      <w:r>
        <w:rPr>
          <w:spacing w:val="-4"/>
        </w:rPr>
        <w:t>二维码符号尺寸</w:t>
      </w:r>
      <w:r>
        <w:rPr>
          <w:rFonts w:hint="eastAsia"/>
          <w:spacing w:val="-4"/>
        </w:rPr>
        <w:t>宜</w:t>
      </w:r>
      <w:r>
        <w:rPr>
          <w:spacing w:val="-4"/>
        </w:rPr>
        <w:t>根据编码内容、纠错等级、识读装置与系统、标签允许空间等因素确定</w:t>
      </w:r>
      <w:r>
        <w:rPr>
          <w:rFonts w:hint="eastAsia"/>
          <w:spacing w:val="-4"/>
        </w:rPr>
        <w:t>，宜符合GB/T 33993</w:t>
      </w:r>
      <w:r>
        <w:rPr>
          <w:spacing w:val="-3"/>
        </w:rPr>
        <w:t>。</w:t>
      </w:r>
      <w:r>
        <w:t xml:space="preserve"> </w:t>
      </w:r>
    </w:p>
    <w:p w14:paraId="1D75A4B8">
      <w:pPr>
        <w:pStyle w:val="108"/>
        <w:spacing w:before="120" w:after="120"/>
      </w:pPr>
      <w:r>
        <w:rPr>
          <w:rFonts w:hint="eastAsia"/>
        </w:rPr>
        <w:t>颜色搭配</w:t>
      </w:r>
    </w:p>
    <w:p w14:paraId="506E4B45">
      <w:pPr>
        <w:pStyle w:val="59"/>
        <w:ind w:firstLine="420"/>
      </w:pPr>
      <w:r>
        <w:t>条码符号的</w:t>
      </w:r>
      <w:bookmarkStart w:id="127" w:name="OLE_LINK26"/>
      <w:r>
        <w:t>颜色搭配</w:t>
      </w:r>
      <w:bookmarkEnd w:id="127"/>
      <w:r>
        <w:rPr>
          <w:spacing w:val="-13"/>
        </w:rPr>
        <w:t>宜</w:t>
      </w:r>
      <w:r>
        <w:rPr>
          <w:rFonts w:hint="eastAsia"/>
        </w:rPr>
        <w:t>符合GB</w:t>
      </w:r>
      <w:r>
        <w:rPr>
          <w:spacing w:val="-2"/>
        </w:rPr>
        <w:t xml:space="preserve"> </w:t>
      </w:r>
      <w:r>
        <w:t>12904</w:t>
      </w:r>
      <w:r>
        <w:rPr>
          <w:spacing w:val="-3"/>
        </w:rPr>
        <w:t>。</w:t>
      </w:r>
      <w:r>
        <w:t xml:space="preserve"> </w:t>
      </w:r>
    </w:p>
    <w:p w14:paraId="1CF1F6C3">
      <w:pPr>
        <w:pStyle w:val="108"/>
        <w:spacing w:before="120" w:after="120"/>
      </w:pPr>
      <w:r>
        <w:rPr>
          <w:rFonts w:hint="eastAsia"/>
        </w:rPr>
        <w:t>条码符号的质量</w:t>
      </w:r>
    </w:p>
    <w:p w14:paraId="15FEB57B">
      <w:pPr>
        <w:pStyle w:val="59"/>
        <w:ind w:firstLine="420"/>
      </w:pPr>
      <w:r>
        <w:rPr>
          <w:rFonts w:hint="eastAsia"/>
        </w:rPr>
        <w:t>一维条码符号质量评价宜符合</w:t>
      </w:r>
      <w:bookmarkStart w:id="128" w:name="OLE_LINK33"/>
      <w:bookmarkStart w:id="129" w:name="OLE_LINK34"/>
      <w:r>
        <w:rPr>
          <w:rFonts w:hint="eastAsia"/>
        </w:rPr>
        <w:t>GB/T 18348</w:t>
      </w:r>
      <w:bookmarkEnd w:id="128"/>
      <w:bookmarkEnd w:id="129"/>
      <w:r>
        <w:rPr>
          <w:rFonts w:hint="eastAsia"/>
        </w:rPr>
        <w:t>的规定，二维码符号质量评价宜符合GB/T</w:t>
      </w:r>
      <w:bookmarkStart w:id="130" w:name="OLE_LINK36"/>
      <w:bookmarkStart w:id="131" w:name="OLE_LINK35"/>
      <w:r>
        <w:rPr>
          <w:rFonts w:hint="eastAsia"/>
        </w:rPr>
        <w:t xml:space="preserve"> 23704</w:t>
      </w:r>
      <w:bookmarkEnd w:id="130"/>
      <w:bookmarkEnd w:id="131"/>
      <w:r>
        <w:rPr>
          <w:rFonts w:hint="eastAsia"/>
        </w:rPr>
        <w:t>的规定。</w:t>
      </w:r>
    </w:p>
    <w:p w14:paraId="11847694">
      <w:pPr>
        <w:pStyle w:val="108"/>
        <w:spacing w:before="120" w:after="120"/>
      </w:pPr>
      <w:bookmarkStart w:id="132" w:name="_bookmark9"/>
      <w:bookmarkEnd w:id="132"/>
      <w:bookmarkStart w:id="133" w:name="_Toc217395897"/>
      <w:bookmarkStart w:id="134" w:name="OLE_LINK29"/>
      <w:bookmarkStart w:id="135" w:name="OLE_LINK28"/>
      <w:r>
        <w:t>放置</w:t>
      </w:r>
      <w:bookmarkEnd w:id="133"/>
      <w:r>
        <w:rPr>
          <w:rFonts w:hint="eastAsia"/>
        </w:rPr>
        <w:t>位置</w:t>
      </w:r>
    </w:p>
    <w:bookmarkEnd w:id="134"/>
    <w:bookmarkEnd w:id="135"/>
    <w:p w14:paraId="48E07261">
      <w:pPr>
        <w:pStyle w:val="59"/>
        <w:ind w:firstLine="420"/>
      </w:pPr>
      <w:r>
        <w:t>一维条码符号</w:t>
      </w:r>
      <w:r>
        <w:rPr>
          <w:rFonts w:hint="eastAsia"/>
        </w:rPr>
        <w:t>和二维码符号</w:t>
      </w:r>
      <w:r>
        <w:t>的放置</w:t>
      </w:r>
      <w:r>
        <w:rPr>
          <w:rFonts w:hint="eastAsia"/>
        </w:rPr>
        <w:t>位置</w:t>
      </w:r>
      <w:r>
        <w:t>宜</w:t>
      </w:r>
      <w:r>
        <w:rPr>
          <w:rFonts w:hint="eastAsia"/>
        </w:rPr>
        <w:t>符合GB/T</w:t>
      </w:r>
      <w:bookmarkStart w:id="136" w:name="OLE_LINK25"/>
      <w:r>
        <w:t xml:space="preserve"> 14257</w:t>
      </w:r>
      <w:bookmarkEnd w:id="136"/>
      <w:r>
        <w:t xml:space="preserve">。 </w:t>
      </w:r>
    </w:p>
    <w:p w14:paraId="52220138">
      <w:pPr>
        <w:pStyle w:val="108"/>
        <w:spacing w:before="120" w:after="120"/>
      </w:pPr>
      <w:bookmarkStart w:id="137" w:name="_Toc217395898"/>
      <w:r>
        <w:rPr>
          <w:rFonts w:hint="eastAsia"/>
        </w:rPr>
        <w:t>印制</w:t>
      </w:r>
      <w:bookmarkEnd w:id="137"/>
    </w:p>
    <w:p w14:paraId="5F422BF9">
      <w:pPr>
        <w:pStyle w:val="59"/>
        <w:ind w:firstLine="420"/>
      </w:pPr>
      <w:r>
        <w:rPr>
          <w:rFonts w:hint="eastAsia"/>
        </w:rPr>
        <w:t>条码符号印制可包括打印和印刷方式。根据 MRO工业品的特性，也可采用激光蚀刻条码直接标识到本体方式</w:t>
      </w:r>
      <w:r>
        <w:t>，</w:t>
      </w:r>
      <w:r>
        <w:rPr>
          <w:rFonts w:hint="eastAsia"/>
        </w:rPr>
        <w:t>企业</w:t>
      </w:r>
      <w:r>
        <w:t>可</w:t>
      </w:r>
      <w:r>
        <w:rPr>
          <w:rFonts w:hint="eastAsia"/>
        </w:rPr>
        <w:t>根据需求，自行选择印制方式。</w:t>
      </w:r>
    </w:p>
    <w:p w14:paraId="5C622E87">
      <w:pPr>
        <w:pStyle w:val="107"/>
        <w:spacing w:before="240" w:after="240"/>
      </w:pPr>
      <w:bookmarkStart w:id="138" w:name="_Toc229239445"/>
      <w:bookmarkStart w:id="139" w:name="_Toc229239477"/>
      <w:bookmarkStart w:id="140" w:name="_Toc232582263"/>
      <w:bookmarkStart w:id="141" w:name="_Toc235521575"/>
      <w:r>
        <w:rPr>
          <w:rFonts w:hint="eastAsia"/>
        </w:rPr>
        <w:t>应用场景</w:t>
      </w:r>
      <w:bookmarkEnd w:id="138"/>
      <w:bookmarkEnd w:id="139"/>
      <w:bookmarkEnd w:id="140"/>
      <w:bookmarkEnd w:id="141"/>
    </w:p>
    <w:p w14:paraId="114D3303">
      <w:pPr>
        <w:pStyle w:val="108"/>
        <w:spacing w:before="120" w:after="120"/>
      </w:pPr>
      <w:bookmarkStart w:id="142" w:name="OLE_LINK43"/>
      <w:bookmarkStart w:id="143" w:name="OLE_LINK48"/>
      <w:bookmarkStart w:id="144" w:name="OLE_LINK39"/>
      <w:bookmarkStart w:id="145" w:name="OLE_LINK40"/>
      <w:r>
        <w:rPr>
          <w:rFonts w:hint="eastAsia"/>
        </w:rPr>
        <w:t>产品</w:t>
      </w:r>
      <w:bookmarkEnd w:id="142"/>
      <w:bookmarkEnd w:id="143"/>
      <w:r>
        <w:rPr>
          <w:rFonts w:hint="eastAsia"/>
        </w:rPr>
        <w:t>下单</w:t>
      </w:r>
    </w:p>
    <w:bookmarkEnd w:id="144"/>
    <w:bookmarkEnd w:id="145"/>
    <w:p w14:paraId="3B3985D9">
      <w:pPr>
        <w:pStyle w:val="59"/>
        <w:ind w:firstLine="420"/>
      </w:pPr>
      <w:r>
        <w:rPr>
          <w:rFonts w:hint="eastAsia"/>
        </w:rPr>
        <w:t>通过将商品条码作为商品主数据的关键字段，在</w:t>
      </w:r>
      <w:r>
        <w:rPr>
          <w:rFonts w:hint="eastAsia"/>
          <w:lang w:val="en-US" w:eastAsia="zh-CN"/>
        </w:rPr>
        <w:t>采购</w:t>
      </w:r>
      <w:r>
        <w:rPr>
          <w:rFonts w:hint="eastAsia"/>
        </w:rPr>
        <w:t>平台</w:t>
      </w:r>
      <w:r>
        <w:rPr>
          <w:rFonts w:hint="eastAsia"/>
          <w:lang w:val="en-US" w:eastAsia="zh-CN"/>
        </w:rPr>
        <w:t>商品</w:t>
      </w:r>
      <w:r>
        <w:rPr>
          <w:rFonts w:hint="eastAsia"/>
        </w:rPr>
        <w:t>上架</w:t>
      </w:r>
      <w:r>
        <w:rPr>
          <w:rFonts w:hint="eastAsia"/>
          <w:lang w:eastAsia="zh-CN"/>
        </w:rPr>
        <w:t>、</w:t>
      </w:r>
      <w:r>
        <w:rPr>
          <w:rFonts w:hint="eastAsia"/>
          <w:lang w:val="en-US" w:eastAsia="zh-CN"/>
        </w:rPr>
        <w:t>商品比选等环节</w:t>
      </w:r>
      <w:r>
        <w:rPr>
          <w:rFonts w:hint="eastAsia"/>
        </w:rPr>
        <w:t>自动关联</w:t>
      </w:r>
      <w:r>
        <w:rPr>
          <w:rFonts w:hint="eastAsia"/>
          <w:lang w:val="en-US" w:eastAsia="zh-CN"/>
        </w:rPr>
        <w:t>商品</w:t>
      </w:r>
      <w:r>
        <w:rPr>
          <w:rFonts w:hint="eastAsia"/>
        </w:rPr>
        <w:t>详情、库存等信息，并实现同类商品的价格比较。相关</w:t>
      </w:r>
      <w:r>
        <w:t>示例参见附录B</w:t>
      </w:r>
      <w:r>
        <w:rPr>
          <w:rFonts w:hint="eastAsia"/>
        </w:rPr>
        <w:t>。</w:t>
      </w:r>
    </w:p>
    <w:p w14:paraId="1165AB1A">
      <w:pPr>
        <w:pStyle w:val="108"/>
        <w:spacing w:before="120" w:after="120"/>
      </w:pPr>
      <w:r>
        <w:rPr>
          <w:rFonts w:hint="eastAsia"/>
        </w:rPr>
        <w:t>仓储物流</w:t>
      </w:r>
    </w:p>
    <w:p w14:paraId="4D37F742">
      <w:pPr>
        <w:pStyle w:val="59"/>
        <w:ind w:firstLine="420"/>
      </w:pPr>
      <w:r>
        <w:rPr>
          <w:rFonts w:hint="eastAsia"/>
        </w:rPr>
        <w:t>在供应链中如果需要对物流单元进行个体的跟踪与管理，通过扫描每个物流单元上的SSCC，实现物流与相关信息流的链接，完成入库、出库、盘点、拣货、发货操作，提升效率和准确率。</w:t>
      </w:r>
      <w:bookmarkStart w:id="146" w:name="OLE_LINK38"/>
      <w:bookmarkStart w:id="147" w:name="OLE_LINK37"/>
      <w:r>
        <w:rPr>
          <w:rFonts w:hint="eastAsia"/>
        </w:rPr>
        <w:t>相关</w:t>
      </w:r>
      <w:r>
        <w:t>示例参见附录C</w:t>
      </w:r>
      <w:r>
        <w:rPr>
          <w:rFonts w:hint="eastAsia"/>
        </w:rPr>
        <w:t>。</w:t>
      </w:r>
      <w:bookmarkEnd w:id="146"/>
      <w:bookmarkEnd w:id="147"/>
    </w:p>
    <w:p w14:paraId="1E2743A0">
      <w:pPr>
        <w:pStyle w:val="108"/>
        <w:spacing w:before="120" w:after="120"/>
      </w:pPr>
      <w:bookmarkStart w:id="148" w:name="OLE_LINK41"/>
      <w:bookmarkStart w:id="149" w:name="OLE_LINK42"/>
      <w:r>
        <w:rPr>
          <w:rFonts w:hint="eastAsia"/>
        </w:rPr>
        <w:t>质量追溯</w:t>
      </w:r>
    </w:p>
    <w:bookmarkEnd w:id="148"/>
    <w:bookmarkEnd w:id="149"/>
    <w:p w14:paraId="4DBAE73E">
      <w:pPr>
        <w:pStyle w:val="59"/>
        <w:ind w:firstLine="420"/>
      </w:pPr>
      <w:r>
        <w:rPr>
          <w:rFonts w:hint="eastAsia"/>
        </w:rPr>
        <w:t>监管部门或企业可通过包含附加属性信息的商品条码查询产品全链条信息，实现</w:t>
      </w:r>
      <w:r>
        <w:rPr>
          <w:rFonts w:hint="eastAsia"/>
          <w:lang w:val="en-US" w:eastAsia="zh-CN"/>
        </w:rPr>
        <w:t>商品</w:t>
      </w:r>
      <w:r>
        <w:rPr>
          <w:rFonts w:hint="eastAsia"/>
        </w:rPr>
        <w:t>来源可查、去向可追、责任可究。相关</w:t>
      </w:r>
      <w:r>
        <w:t>示例参见附录D</w:t>
      </w:r>
      <w:r>
        <w:rPr>
          <w:rFonts w:hint="eastAsia"/>
        </w:rPr>
        <w:t>。</w:t>
      </w:r>
    </w:p>
    <w:p w14:paraId="45F99365">
      <w:pPr>
        <w:pStyle w:val="59"/>
        <w:ind w:firstLine="199" w:firstLineChars="95"/>
        <w:sectPr>
          <w:pgSz w:w="11906" w:h="16838"/>
          <w:pgMar w:top="1928" w:right="1134" w:bottom="1134" w:left="1134" w:header="1418" w:footer="1134" w:gutter="284"/>
          <w:pgNumType w:start="1"/>
          <w:cols w:space="425" w:num="1"/>
          <w:formProt w:val="0"/>
          <w:docGrid w:linePitch="312" w:charSpace="0"/>
        </w:sectPr>
      </w:pPr>
    </w:p>
    <w:bookmarkEnd w:id="29"/>
    <w:p w14:paraId="5B74B6C3">
      <w:pPr>
        <w:pStyle w:val="201"/>
        <w:rPr>
          <w:vanish w:val="0"/>
        </w:rPr>
      </w:pPr>
      <w:bookmarkStart w:id="150" w:name="BookMark5"/>
    </w:p>
    <w:p w14:paraId="36097876">
      <w:pPr>
        <w:pStyle w:val="202"/>
        <w:rPr>
          <w:vanish w:val="0"/>
        </w:rPr>
      </w:pPr>
    </w:p>
    <w:p w14:paraId="09678F97">
      <w:pPr>
        <w:pStyle w:val="79"/>
        <w:spacing w:after="120"/>
      </w:pPr>
      <w:r>
        <w:br w:type="textWrapping"/>
      </w:r>
      <w:bookmarkStart w:id="151" w:name="_Toc229239446"/>
      <w:bookmarkStart w:id="152" w:name="_Toc229239478"/>
      <w:bookmarkStart w:id="153" w:name="_Toc235521576"/>
      <w:bookmarkStart w:id="154" w:name="_Toc232582264"/>
      <w:r>
        <w:rPr>
          <w:rFonts w:hint="eastAsia"/>
        </w:rPr>
        <w:t>（资料性）</w:t>
      </w:r>
      <w:r>
        <w:br w:type="textWrapping"/>
      </w:r>
      <w:r>
        <w:rPr>
          <w:rFonts w:hint="eastAsia"/>
        </w:rPr>
        <w:t>条码表示示例</w:t>
      </w:r>
      <w:bookmarkEnd w:id="151"/>
      <w:bookmarkEnd w:id="152"/>
      <w:bookmarkEnd w:id="153"/>
      <w:bookmarkEnd w:id="154"/>
    </w:p>
    <w:p w14:paraId="374967B2">
      <w:pPr>
        <w:pStyle w:val="81"/>
        <w:spacing w:before="120" w:after="120"/>
      </w:pPr>
      <w:r>
        <w:rPr>
          <w:rFonts w:hint="eastAsia"/>
        </w:rPr>
        <w:t>定量MRO工业品</w:t>
      </w:r>
    </w:p>
    <w:p w14:paraId="3EAB0B30">
      <w:pPr>
        <w:pStyle w:val="82"/>
        <w:spacing w:before="120" w:after="120"/>
      </w:pPr>
      <w:r>
        <w:rPr>
          <w:rFonts w:hint="eastAsia"/>
        </w:rPr>
        <w:t>13位代码结构的定量MRO工业品条码</w:t>
      </w:r>
      <w:r>
        <w:rPr>
          <w:rFonts w:hint="eastAsia"/>
          <w:lang w:val="en-US" w:eastAsia="zh-CN"/>
        </w:rPr>
        <w:t>表示</w:t>
      </w:r>
    </w:p>
    <w:p w14:paraId="2A66F420">
      <w:pPr>
        <w:pStyle w:val="215"/>
        <w:numPr>
          <w:ilvl w:val="255"/>
          <w:numId w:val="0"/>
        </w:numPr>
        <w:ind w:firstLine="420" w:firstLineChars="200"/>
      </w:pPr>
      <w:r>
        <w:rPr>
          <w:rFonts w:hint="eastAsia"/>
        </w:rPr>
        <w:t>某MRO工业品供应商的厂商识别代码为6901234，为其生产的某款扳手分配的商品项目代码为56789，校验码为2.采用13位数字代码的一维条码（EAN-13条码）表示，示例如图A.1所示。</w:t>
      </w:r>
    </w:p>
    <w:p w14:paraId="0EC2D219">
      <w:pPr>
        <w:pStyle w:val="59"/>
        <w:ind w:firstLine="420"/>
        <w:jc w:val="center"/>
      </w:pPr>
      <w:r>
        <w:drawing>
          <wp:inline distT="0" distB="0" distL="0" distR="0">
            <wp:extent cx="1963420" cy="1405890"/>
            <wp:effectExtent l="0" t="0" r="0" b="3810"/>
            <wp:docPr id="31" name="图片 31" descr="C:\Users\lenovo\Pictures\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C:\Users\lenovo\Pictures\11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1991939" cy="1426326"/>
                    </a:xfrm>
                    <a:prstGeom prst="rect">
                      <a:avLst/>
                    </a:prstGeom>
                    <a:noFill/>
                    <a:ln>
                      <a:noFill/>
                    </a:ln>
                  </pic:spPr>
                </pic:pic>
              </a:graphicData>
            </a:graphic>
          </wp:inline>
        </w:drawing>
      </w:r>
    </w:p>
    <w:p w14:paraId="63BEA43E">
      <w:pPr>
        <w:pStyle w:val="86"/>
        <w:spacing w:before="120" w:after="120"/>
      </w:pPr>
      <w:r>
        <w:rPr>
          <w:rFonts w:hint="eastAsia"/>
        </w:rPr>
        <w:t>EAN-13条码</w:t>
      </w:r>
    </w:p>
    <w:p w14:paraId="40DCFAF5">
      <w:pPr>
        <w:pStyle w:val="59"/>
        <w:ind w:firstLine="420"/>
        <w:jc w:val="center"/>
      </w:pPr>
    </w:p>
    <w:p w14:paraId="6E9F0664">
      <w:pPr>
        <w:pStyle w:val="82"/>
        <w:spacing w:before="120" w:after="120"/>
      </w:pPr>
      <w:r>
        <w:rPr>
          <w:rFonts w:hint="eastAsia"/>
        </w:rPr>
        <w:t>14位代码结构的定量MRO工业品条码</w:t>
      </w:r>
      <w:r>
        <w:rPr>
          <w:rFonts w:hint="eastAsia"/>
          <w:lang w:val="en-US" w:eastAsia="zh-CN"/>
        </w:rPr>
        <w:t>表示</w:t>
      </w:r>
    </w:p>
    <w:p w14:paraId="6BBA7BE0">
      <w:pPr>
        <w:pStyle w:val="215"/>
        <w:numPr>
          <w:ilvl w:val="255"/>
          <w:numId w:val="0"/>
        </w:numPr>
        <w:ind w:firstLine="420" w:firstLineChars="200"/>
      </w:pPr>
      <w:r>
        <w:rPr>
          <w:rFonts w:hint="eastAsia"/>
        </w:rPr>
        <w:t>某MRO工业品供应商的厂商识别代码为6901234，为其生产的24×300mL磨砂工业油污洗手液分配的的商品项目代码为00004，校验码为3，采用14位数字代码的一维条码（ITF-14条码）表示包装指示符为2的整箱包装，示例如图</w:t>
      </w:r>
      <w:r>
        <w:t>A.</w:t>
      </w:r>
      <w:r>
        <w:rPr>
          <w:rFonts w:hint="eastAsia"/>
        </w:rPr>
        <w:t>2所示。</w:t>
      </w:r>
    </w:p>
    <w:p w14:paraId="48664F42">
      <w:pPr>
        <w:pStyle w:val="59"/>
        <w:ind w:firstLine="420"/>
        <w:jc w:val="center"/>
      </w:pPr>
      <w:r>
        <w:drawing>
          <wp:inline distT="0" distB="0" distL="0" distR="0">
            <wp:extent cx="2514600" cy="974725"/>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2533064" cy="982416"/>
                    </a:xfrm>
                    <a:prstGeom prst="rect">
                      <a:avLst/>
                    </a:prstGeom>
                    <a:noFill/>
                  </pic:spPr>
                </pic:pic>
              </a:graphicData>
            </a:graphic>
          </wp:inline>
        </w:drawing>
      </w:r>
    </w:p>
    <w:p w14:paraId="276754F5">
      <w:pPr>
        <w:pStyle w:val="86"/>
        <w:spacing w:before="120" w:after="120"/>
      </w:pPr>
      <w:r>
        <w:rPr>
          <w:rFonts w:hint="eastAsia"/>
        </w:rPr>
        <w:t>ITF-14条码</w:t>
      </w:r>
    </w:p>
    <w:p w14:paraId="00D68B09">
      <w:pPr>
        <w:pStyle w:val="82"/>
        <w:spacing w:before="120" w:after="120"/>
      </w:pPr>
      <w:r>
        <w:rPr>
          <w:rFonts w:hint="eastAsia"/>
        </w:rPr>
        <w:t>标识到单品的定量MRO工业品</w:t>
      </w:r>
      <w:r>
        <w:rPr>
          <w:rFonts w:hint="eastAsia"/>
          <w:lang w:val="en-US" w:eastAsia="zh-CN"/>
        </w:rPr>
        <w:t>条码表示</w:t>
      </w:r>
    </w:p>
    <w:p w14:paraId="6C265B31">
      <w:pPr>
        <w:pStyle w:val="59"/>
        <w:ind w:firstLine="420"/>
      </w:pPr>
      <w:r>
        <w:rPr>
          <w:rFonts w:hint="eastAsia"/>
        </w:rPr>
        <w:t>某MRO工业品供应商的厂商识别代码为6901234，为其生产的某手用螺丝批头6.3mm系列分配的</w:t>
      </w:r>
      <w:r>
        <w:rPr>
          <w:rFonts w:hint="eastAsia"/>
          <w:lang w:val="en-US" w:eastAsia="zh-CN"/>
        </w:rPr>
        <w:t>GTIN为06901234567892</w:t>
      </w:r>
      <w:r>
        <w:rPr>
          <w:rFonts w:hint="eastAsia"/>
        </w:rPr>
        <w:t>，生产日期为2025年1月1日，系列号为5678CD，具体信息如下：</w:t>
      </w:r>
    </w:p>
    <w:p w14:paraId="0AAC8E1C">
      <w:pPr>
        <w:pStyle w:val="177"/>
        <w:numPr>
          <w:ilvl w:val="0"/>
          <w:numId w:val="35"/>
        </w:numPr>
      </w:pPr>
      <w:r>
        <w:rPr>
          <w:rFonts w:hint="eastAsia"/>
        </w:rPr>
        <w:t>AI（01）表示手用螺丝批头6.3mm系列的GTIN；</w:t>
      </w:r>
    </w:p>
    <w:p w14:paraId="1E4153D1">
      <w:pPr>
        <w:pStyle w:val="177"/>
      </w:pPr>
      <w:r>
        <w:rPr>
          <w:rFonts w:hint="eastAsia"/>
        </w:rPr>
        <w:t>AI（11）表示生产日期；</w:t>
      </w:r>
    </w:p>
    <w:p w14:paraId="5884E04C">
      <w:pPr>
        <w:pStyle w:val="177"/>
      </w:pPr>
      <w:r>
        <w:rPr>
          <w:rFonts w:hint="eastAsia"/>
        </w:rPr>
        <w:t>AI（21）表示系列号。</w:t>
      </w:r>
    </w:p>
    <w:p w14:paraId="0AE51DEC">
      <w:pPr>
        <w:pStyle w:val="59"/>
        <w:ind w:firstLine="420"/>
      </w:pPr>
      <w:r>
        <w:rPr>
          <w:rFonts w:hint="eastAsia"/>
        </w:rPr>
        <w:t>包含上述信息的代码为010690123456789211250101215678CD，采用GS1-128条码示例如图</w:t>
      </w:r>
      <w:r>
        <w:t>A.</w:t>
      </w:r>
      <w:r>
        <w:rPr>
          <w:rFonts w:hint="eastAsia"/>
        </w:rPr>
        <w:t>3所示，采用GS1模式的快速响应矩阵码示例如</w:t>
      </w:r>
      <w:r>
        <w:t>图</w:t>
      </w:r>
      <w:r>
        <w:rPr>
          <w:rFonts w:hint="eastAsia"/>
        </w:rPr>
        <w:t>A</w:t>
      </w:r>
      <w:r>
        <w:t>.</w:t>
      </w:r>
      <w:r>
        <w:rPr>
          <w:rFonts w:hint="eastAsia"/>
        </w:rPr>
        <w:t>4所示。</w:t>
      </w:r>
    </w:p>
    <w:p w14:paraId="6F8E1719">
      <w:pPr>
        <w:pStyle w:val="81"/>
        <w:numPr>
          <w:ilvl w:val="255"/>
          <w:numId w:val="0"/>
        </w:numPr>
        <w:spacing w:before="120" w:after="120"/>
        <w:jc w:val="center"/>
      </w:pPr>
      <w:r>
        <w:drawing>
          <wp:inline distT="0" distB="0" distL="0" distR="0">
            <wp:extent cx="3714750" cy="756920"/>
            <wp:effectExtent l="0" t="0" r="0" b="508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3736398" cy="761638"/>
                    </a:xfrm>
                    <a:prstGeom prst="rect">
                      <a:avLst/>
                    </a:prstGeom>
                    <a:noFill/>
                  </pic:spPr>
                </pic:pic>
              </a:graphicData>
            </a:graphic>
          </wp:inline>
        </w:drawing>
      </w:r>
    </w:p>
    <w:p w14:paraId="58126562">
      <w:pPr>
        <w:pStyle w:val="86"/>
        <w:spacing w:before="120" w:after="120"/>
      </w:pPr>
      <w:r>
        <w:rPr>
          <w:rFonts w:hint="eastAsia"/>
        </w:rPr>
        <w:t>GS1-128条码</w:t>
      </w:r>
    </w:p>
    <w:p w14:paraId="3E10A851">
      <w:pPr>
        <w:pStyle w:val="81"/>
        <w:numPr>
          <w:ilvl w:val="255"/>
          <w:numId w:val="0"/>
        </w:numPr>
        <w:spacing w:before="120" w:after="120"/>
        <w:jc w:val="center"/>
      </w:pPr>
      <w:r>
        <w:drawing>
          <wp:inline distT="0" distB="0" distL="0" distR="0">
            <wp:extent cx="3248025" cy="12954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8"/>
                    <a:stretch>
                      <a:fillRect/>
                    </a:stretch>
                  </pic:blipFill>
                  <pic:spPr>
                    <a:xfrm>
                      <a:off x="0" y="0"/>
                      <a:ext cx="3248025" cy="1295400"/>
                    </a:xfrm>
                    <a:prstGeom prst="rect">
                      <a:avLst/>
                    </a:prstGeom>
                  </pic:spPr>
                </pic:pic>
              </a:graphicData>
            </a:graphic>
          </wp:inline>
        </w:drawing>
      </w:r>
    </w:p>
    <w:p w14:paraId="389C65D9">
      <w:pPr>
        <w:pStyle w:val="86"/>
        <w:spacing w:before="120" w:after="120"/>
      </w:pPr>
      <w:r>
        <w:rPr>
          <w:rFonts w:hint="eastAsia"/>
        </w:rPr>
        <w:t>GS1模式的快速响应矩阵码</w:t>
      </w:r>
    </w:p>
    <w:p w14:paraId="6B239ACE">
      <w:pPr>
        <w:pStyle w:val="81"/>
        <w:spacing w:before="120" w:after="120"/>
      </w:pPr>
      <w:r>
        <w:rPr>
          <w:rFonts w:hint="eastAsia"/>
        </w:rPr>
        <w:t>变量 MRO工业品</w:t>
      </w:r>
    </w:p>
    <w:p w14:paraId="4955DE2A">
      <w:pPr>
        <w:pStyle w:val="82"/>
        <w:spacing w:before="120" w:after="120"/>
      </w:pPr>
      <w:r>
        <w:rPr>
          <w:rFonts w:hint="eastAsia"/>
        </w:rPr>
        <w:t>不含附加属性信息的变量</w:t>
      </w:r>
      <w:r>
        <w:t>MRO</w:t>
      </w:r>
      <w:r>
        <w:rPr>
          <w:rFonts w:hint="eastAsia"/>
        </w:rPr>
        <w:t>工业品</w:t>
      </w:r>
      <w:r>
        <w:rPr>
          <w:rFonts w:hint="eastAsia"/>
          <w:lang w:val="en-US" w:eastAsia="zh-CN"/>
        </w:rPr>
        <w:t>条码表示</w:t>
      </w:r>
    </w:p>
    <w:p w14:paraId="3C9E0B57">
      <w:pPr>
        <w:pStyle w:val="59"/>
        <w:ind w:firstLine="420"/>
      </w:pPr>
      <w:r>
        <w:rPr>
          <w:rFonts w:hint="eastAsia"/>
        </w:rPr>
        <w:t>某MRO工业品供应商以吨（t）为单位批量出售钢筋，其厂商识别代码为6901234，为</w:t>
      </w:r>
      <w:r>
        <w:rPr>
          <w:rFonts w:hint="eastAsia"/>
          <w:lang w:val="en-US" w:eastAsia="zh-CN"/>
        </w:rPr>
        <w:t>其销售的</w:t>
      </w:r>
      <w:r>
        <w:rPr>
          <w:rFonts w:hint="eastAsia"/>
        </w:rPr>
        <w:t>规格/型号为H300×200×8×12的三级抗震螺纹钢分配的GTIN为96901234432100。现有客户订购150根钢筋，交货时实际称重为30.02t，具体信息如下：</w:t>
      </w:r>
    </w:p>
    <w:p w14:paraId="409AD111">
      <w:pPr>
        <w:pStyle w:val="177"/>
        <w:numPr>
          <w:ilvl w:val="0"/>
          <w:numId w:val="36"/>
        </w:numPr>
      </w:pPr>
      <w:r>
        <w:rPr>
          <w:rFonts w:hint="eastAsia"/>
        </w:rPr>
        <w:t>AI（01）表示每t规格/型号为H300×200</w:t>
      </w:r>
      <w:bookmarkStart w:id="155" w:name="OLE_LINK9"/>
      <w:r>
        <w:rPr>
          <w:rFonts w:hint="eastAsia"/>
        </w:rPr>
        <w:t>×</w:t>
      </w:r>
      <w:bookmarkEnd w:id="155"/>
      <w:r>
        <w:rPr>
          <w:rFonts w:hint="eastAsia"/>
        </w:rPr>
        <w:t>8×12三级抗震螺纹钢的GTIN；</w:t>
      </w:r>
    </w:p>
    <w:p w14:paraId="05935BBB">
      <w:pPr>
        <w:pStyle w:val="177"/>
      </w:pPr>
      <w:r>
        <w:rPr>
          <w:rFonts w:hint="eastAsia"/>
        </w:rPr>
        <w:t>AI（3100）表示交易钢筋的总重量；</w:t>
      </w:r>
    </w:p>
    <w:p w14:paraId="3A78C77F">
      <w:pPr>
        <w:pStyle w:val="177"/>
      </w:pPr>
      <w:r>
        <w:rPr>
          <w:rFonts w:hint="eastAsia"/>
        </w:rPr>
        <w:t>AI（30）表示交易钢筋的总数量。</w:t>
      </w:r>
    </w:p>
    <w:p w14:paraId="7BF2B0DA">
      <w:pPr>
        <w:pStyle w:val="59"/>
        <w:spacing w:before="120" w:beforeLines="50" w:after="120" w:afterLines="50"/>
        <w:ind w:firstLine="420"/>
      </w:pPr>
      <w:r>
        <w:rPr>
          <w:rFonts w:hint="eastAsia"/>
        </w:rPr>
        <w:t>包含上述信息的代码为0196901234432100310003002030150，采用GS1-128条码示例如图</w:t>
      </w:r>
      <w:r>
        <w:t>A.</w:t>
      </w:r>
      <w:r>
        <w:rPr>
          <w:rFonts w:hint="eastAsia"/>
        </w:rPr>
        <w:t>5所示，采用GS1模式的数据矩阵码示例如</w:t>
      </w:r>
      <w:r>
        <w:t>图</w:t>
      </w:r>
      <w:r>
        <w:rPr>
          <w:rFonts w:hint="eastAsia"/>
        </w:rPr>
        <w:t>A</w:t>
      </w:r>
      <w:r>
        <w:t>.</w:t>
      </w:r>
      <w:r>
        <w:rPr>
          <w:rFonts w:hint="eastAsia"/>
        </w:rPr>
        <w:t>6所示。</w:t>
      </w:r>
    </w:p>
    <w:p w14:paraId="35D497F4">
      <w:pPr>
        <w:pStyle w:val="59"/>
        <w:ind w:firstLine="420"/>
        <w:jc w:val="center"/>
      </w:pPr>
      <w:r>
        <w:drawing>
          <wp:inline distT="0" distB="0" distL="0" distR="0">
            <wp:extent cx="3750310" cy="771525"/>
            <wp:effectExtent l="0" t="0" r="254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3760730" cy="773544"/>
                    </a:xfrm>
                    <a:prstGeom prst="rect">
                      <a:avLst/>
                    </a:prstGeom>
                    <a:noFill/>
                  </pic:spPr>
                </pic:pic>
              </a:graphicData>
            </a:graphic>
          </wp:inline>
        </w:drawing>
      </w:r>
    </w:p>
    <w:p w14:paraId="593A02DD">
      <w:pPr>
        <w:pStyle w:val="59"/>
        <w:ind w:firstLine="420"/>
      </w:pPr>
    </w:p>
    <w:p w14:paraId="56390A88">
      <w:pPr>
        <w:pStyle w:val="86"/>
        <w:spacing w:before="120" w:after="120"/>
      </w:pPr>
      <w:r>
        <w:rPr>
          <w:rFonts w:hint="eastAsia"/>
        </w:rPr>
        <w:t>G</w:t>
      </w:r>
      <w:r>
        <w:t>S1-128</w:t>
      </w:r>
      <w:r>
        <w:rPr>
          <w:rFonts w:hint="eastAsia"/>
        </w:rPr>
        <w:t>条码</w:t>
      </w:r>
    </w:p>
    <w:p w14:paraId="7AAC1FBE">
      <w:pPr>
        <w:pStyle w:val="59"/>
        <w:ind w:firstLine="420"/>
        <w:jc w:val="center"/>
      </w:pPr>
    </w:p>
    <w:p w14:paraId="1073349A">
      <w:pPr>
        <w:pStyle w:val="59"/>
        <w:ind w:firstLine="420"/>
        <w:jc w:val="center"/>
      </w:pPr>
      <w:r>
        <w:drawing>
          <wp:inline distT="0" distB="0" distL="0" distR="0">
            <wp:extent cx="3272790" cy="1219200"/>
            <wp:effectExtent l="0" t="0" r="3810" b="0"/>
            <wp:docPr id="14" name="图片 14" descr="C:\Users\lenovo\Documents\WeChat Files\wxid_8772527725422\FileStorage\Temp\17816628319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C:\Users\lenovo\Documents\WeChat Files\wxid_8772527725422\FileStorage\Temp\1781662831983.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3280524" cy="1221972"/>
                    </a:xfrm>
                    <a:prstGeom prst="rect">
                      <a:avLst/>
                    </a:prstGeom>
                    <a:noFill/>
                    <a:ln>
                      <a:noFill/>
                    </a:ln>
                  </pic:spPr>
                </pic:pic>
              </a:graphicData>
            </a:graphic>
          </wp:inline>
        </w:drawing>
      </w:r>
    </w:p>
    <w:p w14:paraId="643D1DA5">
      <w:pPr>
        <w:pStyle w:val="86"/>
        <w:spacing w:before="120" w:after="120"/>
      </w:pPr>
      <w:r>
        <w:rPr>
          <w:rFonts w:hint="eastAsia"/>
        </w:rPr>
        <w:t>GS1模式的数据矩阵码</w:t>
      </w:r>
    </w:p>
    <w:p w14:paraId="5DDDF2A0">
      <w:pPr>
        <w:pStyle w:val="82"/>
        <w:spacing w:before="120" w:after="120"/>
      </w:pPr>
      <w:r>
        <w:rPr>
          <w:rFonts w:hint="eastAsia"/>
        </w:rPr>
        <w:t>包含批次属性信息的变量MRO工业品</w:t>
      </w:r>
      <w:r>
        <w:rPr>
          <w:rFonts w:hint="eastAsia"/>
          <w:lang w:val="en-US" w:eastAsia="zh-CN"/>
        </w:rPr>
        <w:t>条码表示</w:t>
      </w:r>
      <w:r>
        <w:rPr>
          <w:rFonts w:hint="eastAsia"/>
        </w:rPr>
        <w:t xml:space="preserve">   </w:t>
      </w:r>
    </w:p>
    <w:p w14:paraId="2B237F0F">
      <w:pPr>
        <w:pStyle w:val="59"/>
        <w:ind w:firstLine="420"/>
      </w:pPr>
      <w:r>
        <w:rPr>
          <w:rFonts w:hint="eastAsia"/>
        </w:rPr>
        <w:t>某MRO生产企业的厂商识别代码为6901234，为其销售的每千克（kg）紧固件内六角螺钉分配的GTIN为96901234987655，生产日期为2024年08月01日，订单数量为10kg，批号为1234AB，具体信息如下：</w:t>
      </w:r>
    </w:p>
    <w:p w14:paraId="3DB4C384">
      <w:pPr>
        <w:pStyle w:val="177"/>
        <w:numPr>
          <w:ilvl w:val="0"/>
          <w:numId w:val="37"/>
        </w:numPr>
      </w:pPr>
      <w:r>
        <w:rPr>
          <w:rFonts w:hint="eastAsia"/>
        </w:rPr>
        <w:t>AI（01）表示每kg紧固件内六角螺钉的GTIN；</w:t>
      </w:r>
    </w:p>
    <w:p w14:paraId="6FCDB355">
      <w:pPr>
        <w:pStyle w:val="177"/>
      </w:pPr>
      <w:r>
        <w:rPr>
          <w:rFonts w:hint="eastAsia"/>
        </w:rPr>
        <w:t>AI（3103）表示交易的重量；</w:t>
      </w:r>
    </w:p>
    <w:p w14:paraId="6DB19E98">
      <w:pPr>
        <w:pStyle w:val="177"/>
      </w:pPr>
      <w:r>
        <w:rPr>
          <w:rFonts w:hint="eastAsia"/>
        </w:rPr>
        <w:t>AI（11）表示生产日期；</w:t>
      </w:r>
    </w:p>
    <w:p w14:paraId="311F0B24">
      <w:pPr>
        <w:pStyle w:val="177"/>
      </w:pPr>
      <w:r>
        <w:rPr>
          <w:rFonts w:hint="eastAsia"/>
        </w:rPr>
        <w:t>AI（10）表示批号。</w:t>
      </w:r>
    </w:p>
    <w:p w14:paraId="270558F0">
      <w:pPr>
        <w:pStyle w:val="59"/>
        <w:ind w:firstLine="420"/>
      </w:pPr>
      <w:r>
        <w:rPr>
          <w:rFonts w:hint="eastAsia"/>
        </w:rPr>
        <w:t>包含上述信息的代码为0196901234987655310301000011240801101234AB，采用GS1-128条码表示示例如图</w:t>
      </w:r>
      <w:r>
        <w:t>A.</w:t>
      </w:r>
      <w:r>
        <w:rPr>
          <w:rFonts w:hint="eastAsia"/>
        </w:rPr>
        <w:t>7所示，采用GS1模式的汉信码示例如</w:t>
      </w:r>
      <w:r>
        <w:t>图</w:t>
      </w:r>
      <w:r>
        <w:rPr>
          <w:rFonts w:hint="eastAsia"/>
        </w:rPr>
        <w:t>A</w:t>
      </w:r>
      <w:r>
        <w:t>.</w:t>
      </w:r>
      <w:r>
        <w:rPr>
          <w:rFonts w:hint="eastAsia"/>
        </w:rPr>
        <w:t>8所示。</w:t>
      </w:r>
    </w:p>
    <w:p w14:paraId="0915C836">
      <w:pPr>
        <w:pStyle w:val="86"/>
        <w:numPr>
          <w:ilvl w:val="0"/>
          <w:numId w:val="0"/>
        </w:numPr>
        <w:spacing w:before="120" w:after="120"/>
      </w:pPr>
      <w:r>
        <w:drawing>
          <wp:inline distT="0" distB="0" distL="0" distR="0">
            <wp:extent cx="4286250" cy="719455"/>
            <wp:effectExtent l="0" t="0" r="0" b="444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4307334" cy="723443"/>
                    </a:xfrm>
                    <a:prstGeom prst="rect">
                      <a:avLst/>
                    </a:prstGeom>
                    <a:noFill/>
                  </pic:spPr>
                </pic:pic>
              </a:graphicData>
            </a:graphic>
          </wp:inline>
        </w:drawing>
      </w:r>
    </w:p>
    <w:p w14:paraId="7A8F0BDE">
      <w:pPr>
        <w:pStyle w:val="86"/>
        <w:spacing w:before="120" w:after="120"/>
      </w:pPr>
      <w:r>
        <w:rPr>
          <w:rFonts w:hint="eastAsia"/>
        </w:rPr>
        <w:t>G</w:t>
      </w:r>
      <w:r>
        <w:t>S1-128</w:t>
      </w:r>
      <w:r>
        <w:rPr>
          <w:rFonts w:hint="eastAsia"/>
        </w:rPr>
        <w:t>条码</w:t>
      </w:r>
    </w:p>
    <w:p w14:paraId="656322F5">
      <w:pPr>
        <w:pStyle w:val="86"/>
        <w:numPr>
          <w:ilvl w:val="0"/>
          <w:numId w:val="0"/>
        </w:numPr>
        <w:spacing w:before="120" w:after="120"/>
      </w:pPr>
      <w:r>
        <w:drawing>
          <wp:inline distT="0" distB="0" distL="0" distR="0">
            <wp:extent cx="3457575" cy="1577340"/>
            <wp:effectExtent l="0" t="0" r="0" b="3810"/>
            <wp:docPr id="2" name="图片 2" descr="C:\Users\lenovo\xwechat_files\wxid_8772527725422_a525\temp\InputTemp\8c7a1b7c-94ee-4081-bfd7-ea9a06333c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lenovo\xwechat_files\wxid_8772527725422_a525\temp\InputTemp\8c7a1b7c-94ee-4081-bfd7-ea9a06333c29.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3460291" cy="1578700"/>
                    </a:xfrm>
                    <a:prstGeom prst="rect">
                      <a:avLst/>
                    </a:prstGeom>
                    <a:noFill/>
                    <a:ln>
                      <a:noFill/>
                    </a:ln>
                  </pic:spPr>
                </pic:pic>
              </a:graphicData>
            </a:graphic>
          </wp:inline>
        </w:drawing>
      </w:r>
    </w:p>
    <w:p w14:paraId="443C8265">
      <w:pPr>
        <w:pStyle w:val="86"/>
        <w:spacing w:before="120" w:after="120"/>
      </w:pPr>
      <w:r>
        <w:rPr>
          <w:rFonts w:hint="eastAsia"/>
        </w:rPr>
        <w:t>GS1模式的汉信码</w:t>
      </w:r>
    </w:p>
    <w:p w14:paraId="518C92D5">
      <w:pPr>
        <w:pStyle w:val="81"/>
        <w:spacing w:before="120" w:after="120"/>
      </w:pPr>
      <w:r>
        <w:rPr>
          <w:rFonts w:hint="eastAsia"/>
        </w:rPr>
        <w:t>物流单元</w:t>
      </w:r>
      <w:r>
        <w:rPr>
          <w:rFonts w:hint="eastAsia"/>
          <w:lang w:val="en-US" w:eastAsia="zh-CN"/>
        </w:rPr>
        <w:t>的条码表示</w:t>
      </w:r>
    </w:p>
    <w:p w14:paraId="04E4C87E">
      <w:pPr>
        <w:pStyle w:val="59"/>
        <w:spacing w:before="120" w:beforeLines="50" w:after="120" w:afterLines="50"/>
        <w:ind w:firstLine="420"/>
      </w:pPr>
      <w:r>
        <w:rPr>
          <w:rFonts w:hint="eastAsia"/>
        </w:rPr>
        <w:t>某MRO工业品供应商的厂商识别代码为697123456，为其含有40箱清洗剂的托盘（每箱24罐装）编制参考代码为7891234，校验码为3，采用GS1-128条码示例如图</w:t>
      </w:r>
      <w:r>
        <w:t>A.</w:t>
      </w:r>
      <w:r>
        <w:rPr>
          <w:rFonts w:hint="eastAsia"/>
        </w:rPr>
        <w:t>9所示。</w:t>
      </w:r>
    </w:p>
    <w:p w14:paraId="69277929">
      <w:pPr>
        <w:pStyle w:val="59"/>
        <w:ind w:firstLine="480"/>
        <w:jc w:val="center"/>
      </w:pPr>
      <w:r>
        <w:rPr>
          <w:rFonts w:hAnsi="宋体" w:cs="宋体"/>
          <w:sz w:val="24"/>
          <w:szCs w:val="24"/>
        </w:rPr>
        <w:drawing>
          <wp:inline distT="0" distB="0" distL="114300" distR="114300">
            <wp:extent cx="2428875" cy="777875"/>
            <wp:effectExtent l="0" t="0" r="0" b="3175"/>
            <wp:docPr id="10" name="图片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IMG_256"/>
                    <pic:cNvPicPr>
                      <a:picLocks noChangeAspect="1"/>
                    </pic:cNvPicPr>
                  </pic:nvPicPr>
                  <pic:blipFill>
                    <a:blip r:embed="rId23"/>
                    <a:stretch>
                      <a:fillRect/>
                    </a:stretch>
                  </pic:blipFill>
                  <pic:spPr>
                    <a:xfrm>
                      <a:off x="0" y="0"/>
                      <a:ext cx="2548580" cy="816853"/>
                    </a:xfrm>
                    <a:prstGeom prst="rect">
                      <a:avLst/>
                    </a:prstGeom>
                    <a:noFill/>
                    <a:ln w="9525">
                      <a:noFill/>
                    </a:ln>
                  </pic:spPr>
                </pic:pic>
              </a:graphicData>
            </a:graphic>
          </wp:inline>
        </w:drawing>
      </w:r>
    </w:p>
    <w:p w14:paraId="3F57D3D5">
      <w:pPr>
        <w:pStyle w:val="86"/>
        <w:spacing w:before="120" w:after="120"/>
      </w:pPr>
      <w:r>
        <w:rPr>
          <w:rFonts w:hint="eastAsia"/>
        </w:rPr>
        <w:t>表示物流单元的GS1-128条码</w:t>
      </w:r>
    </w:p>
    <w:p w14:paraId="63DDFABA">
      <w:pPr>
        <w:pStyle w:val="59"/>
        <w:ind w:firstLine="420"/>
      </w:pPr>
    </w:p>
    <w:p w14:paraId="796D525A">
      <w:pPr>
        <w:pStyle w:val="59"/>
        <w:ind w:firstLine="420"/>
      </w:pPr>
    </w:p>
    <w:p w14:paraId="57F6F8EE">
      <w:pPr>
        <w:pStyle w:val="59"/>
        <w:ind w:firstLine="420"/>
      </w:pPr>
    </w:p>
    <w:p w14:paraId="55588B6D">
      <w:pPr>
        <w:pStyle w:val="59"/>
        <w:ind w:firstLine="420"/>
      </w:pPr>
    </w:p>
    <w:p w14:paraId="1A6BEE8D">
      <w:pPr>
        <w:pStyle w:val="59"/>
        <w:ind w:firstLine="420"/>
      </w:pPr>
    </w:p>
    <w:p w14:paraId="1325B9BE">
      <w:pPr>
        <w:pStyle w:val="59"/>
        <w:ind w:firstLine="420"/>
      </w:pPr>
    </w:p>
    <w:p w14:paraId="688FDDB3">
      <w:pPr>
        <w:pStyle w:val="59"/>
        <w:ind w:firstLine="420"/>
      </w:pPr>
    </w:p>
    <w:p w14:paraId="4B811DD6">
      <w:pPr>
        <w:pStyle w:val="59"/>
        <w:ind w:firstLine="420"/>
      </w:pPr>
    </w:p>
    <w:p w14:paraId="12C87E4A">
      <w:pPr>
        <w:pStyle w:val="59"/>
        <w:ind w:firstLine="420"/>
      </w:pPr>
    </w:p>
    <w:p w14:paraId="07AB65FA">
      <w:pPr>
        <w:pStyle w:val="201"/>
        <w:rPr>
          <w:vanish w:val="0"/>
        </w:rPr>
      </w:pPr>
    </w:p>
    <w:p w14:paraId="1DC37EBD">
      <w:pPr>
        <w:pStyle w:val="202"/>
        <w:rPr>
          <w:vanish w:val="0"/>
        </w:rPr>
      </w:pPr>
    </w:p>
    <w:p w14:paraId="362F865B">
      <w:pPr>
        <w:pStyle w:val="79"/>
        <w:spacing w:after="120"/>
      </w:pPr>
      <w:r>
        <w:br w:type="textWrapping"/>
      </w:r>
      <w:bookmarkStart w:id="156" w:name="_Toc232582265"/>
      <w:bookmarkStart w:id="157" w:name="_Toc229239479"/>
      <w:bookmarkStart w:id="158" w:name="_Toc229239447"/>
      <w:bookmarkStart w:id="159" w:name="_Toc235521577"/>
      <w:r>
        <w:rPr>
          <w:rFonts w:hint="eastAsia"/>
        </w:rPr>
        <w:t>（资料性）</w:t>
      </w:r>
      <w:r>
        <w:br w:type="textWrapping"/>
      </w:r>
      <w:r>
        <w:rPr>
          <w:rFonts w:hint="eastAsia"/>
        </w:rPr>
        <w:t>产品下单场景应用示例</w:t>
      </w:r>
      <w:bookmarkEnd w:id="156"/>
      <w:bookmarkEnd w:id="157"/>
      <w:bookmarkEnd w:id="158"/>
      <w:bookmarkEnd w:id="159"/>
    </w:p>
    <w:p w14:paraId="4E4715FB">
      <w:pPr>
        <w:pStyle w:val="59"/>
        <w:ind w:firstLine="420"/>
      </w:pPr>
    </w:p>
    <w:p w14:paraId="6E9C916A">
      <w:pPr>
        <w:pStyle w:val="59"/>
        <w:ind w:firstLine="420"/>
      </w:pPr>
    </w:p>
    <w:p w14:paraId="04B6FF48">
      <w:pPr>
        <w:pStyle w:val="81"/>
        <w:spacing w:before="120" w:after="120"/>
      </w:pPr>
      <w:r>
        <w:rPr>
          <w:rFonts w:hint="eastAsia"/>
        </w:rPr>
        <w:t>场景描述</w:t>
      </w:r>
    </w:p>
    <w:p w14:paraId="110F6231">
      <w:pPr>
        <w:pStyle w:val="59"/>
        <w:ind w:firstLine="420"/>
      </w:pPr>
      <w:r>
        <w:rPr>
          <w:rFonts w:hint="eastAsia"/>
        </w:rPr>
        <w:t>某企业的采购人员通过MRO工业品</w:t>
      </w:r>
      <w:r>
        <w:rPr>
          <w:rFonts w:hint="eastAsia"/>
          <w:lang w:val="en-US" w:eastAsia="zh-CN"/>
        </w:rPr>
        <w:t>采购</w:t>
      </w:r>
      <w:r>
        <w:rPr>
          <w:rFonts w:hint="eastAsia"/>
        </w:rPr>
        <w:t>平台采购一批M</w:t>
      </w:r>
      <w:r>
        <w:t>RO</w:t>
      </w:r>
      <w:r>
        <w:rPr>
          <w:rFonts w:hint="eastAsia"/>
        </w:rPr>
        <w:t>工业品，该批MRO工业品供应商已按本文件相关条款的规定，对其生产的商品赋予商品条码，并在商品页面展示。</w:t>
      </w:r>
    </w:p>
    <w:p w14:paraId="6FF3E8C1">
      <w:pPr>
        <w:pStyle w:val="81"/>
        <w:spacing w:before="120" w:after="120"/>
      </w:pPr>
      <w:r>
        <w:rPr>
          <w:rFonts w:hint="eastAsia"/>
        </w:rPr>
        <w:t>应用</w:t>
      </w:r>
      <w:r>
        <w:t>流程</w:t>
      </w:r>
    </w:p>
    <w:p w14:paraId="472A2F8A">
      <w:pPr>
        <w:pStyle w:val="59"/>
        <w:spacing w:before="120" w:after="120"/>
        <w:ind w:firstLine="420"/>
      </w:pPr>
      <w:r>
        <w:rPr>
          <w:rFonts w:hint="eastAsia"/>
        </w:rPr>
        <w:t>产品下单各环节条码应用流程如下:</w:t>
      </w:r>
    </w:p>
    <w:p w14:paraId="063D86CA">
      <w:pPr>
        <w:pStyle w:val="177"/>
        <w:numPr>
          <w:ilvl w:val="0"/>
          <w:numId w:val="37"/>
        </w:numPr>
        <w:spacing w:before="120" w:after="120"/>
      </w:pPr>
      <w:r>
        <w:rPr>
          <w:rFonts w:hint="eastAsia"/>
        </w:rPr>
        <w:t>采购人员登录平台后，可检索所需商品的名称或直接输入商品条码，系统利用商品条码的唯一性实现精确匹配，直接定位到目标商品；</w:t>
      </w:r>
    </w:p>
    <w:p w14:paraId="503CC06F">
      <w:pPr>
        <w:pStyle w:val="177"/>
        <w:spacing w:before="120" w:after="120"/>
      </w:pPr>
      <w:r>
        <w:rPr>
          <w:rFonts w:hint="eastAsia"/>
        </w:rPr>
        <w:t>系统依据</w:t>
      </w:r>
      <w:r>
        <w:rPr>
          <w:rFonts w:hint="eastAsia"/>
          <w:lang w:val="en-US" w:eastAsia="zh-CN"/>
        </w:rPr>
        <w:t>商品条码</w:t>
      </w:r>
      <w:r>
        <w:rPr>
          <w:rFonts w:hint="eastAsia"/>
        </w:rPr>
        <w:t>自动调取该商品的标准化信息，包括产品规范、技术参数、实时库存状态、价格以及供应商资质等数据，进行同型号商品跨供应商的价格和服务等信息的比对；</w:t>
      </w:r>
    </w:p>
    <w:p w14:paraId="027D9B48">
      <w:pPr>
        <w:pStyle w:val="177"/>
        <w:spacing w:before="120" w:after="120"/>
      </w:pPr>
      <w:r>
        <w:rPr>
          <w:rFonts w:hint="eastAsia"/>
        </w:rPr>
        <w:t>采购人员根据比较结果将所选商品加入购物车后确认下单，系统生成订单；</w:t>
      </w:r>
    </w:p>
    <w:p w14:paraId="0D8DEA3C">
      <w:pPr>
        <w:pStyle w:val="177"/>
        <w:spacing w:before="120" w:after="120"/>
      </w:pPr>
      <w:r>
        <w:rPr>
          <w:rFonts w:hint="eastAsia"/>
        </w:rPr>
        <w:t>供应商接收订单后，按照</w:t>
      </w:r>
      <w:r>
        <w:rPr>
          <w:rFonts w:hint="eastAsia"/>
          <w:lang w:val="en-US" w:eastAsia="zh-CN"/>
        </w:rPr>
        <w:t>商品条码</w:t>
      </w:r>
      <w:r>
        <w:rPr>
          <w:rFonts w:hint="eastAsia"/>
        </w:rPr>
        <w:t>匹配库位并触发拣货任务；</w:t>
      </w:r>
    </w:p>
    <w:p w14:paraId="01CFBD03">
      <w:pPr>
        <w:pStyle w:val="177"/>
        <w:spacing w:before="120" w:after="120"/>
        <w:rPr>
          <w:rFonts w:ascii="黑体" w:eastAsia="黑体"/>
          <w:kern w:val="21"/>
        </w:rPr>
      </w:pPr>
      <w:r>
        <w:rPr>
          <w:rFonts w:hint="eastAsia"/>
        </w:rPr>
        <w:t>采购人员收到货物后，扫描包装上的商品条码，系统自动生成收货清单，并与原始订单信息进行比对验证，完成采购与收货环节的数据闭环。</w:t>
      </w:r>
    </w:p>
    <w:p w14:paraId="631A6567">
      <w:pPr>
        <w:pStyle w:val="59"/>
        <w:ind w:firstLine="420"/>
      </w:pPr>
    </w:p>
    <w:p w14:paraId="37ACEBD3">
      <w:pPr>
        <w:pStyle w:val="59"/>
        <w:ind w:firstLine="420"/>
      </w:pPr>
    </w:p>
    <w:p w14:paraId="0D38F305">
      <w:pPr>
        <w:pStyle w:val="59"/>
        <w:ind w:firstLine="199" w:firstLineChars="95"/>
      </w:pPr>
    </w:p>
    <w:p w14:paraId="6C5ED809">
      <w:pPr>
        <w:pStyle w:val="59"/>
        <w:ind w:firstLine="199" w:firstLineChars="95"/>
        <w:sectPr>
          <w:pgSz w:w="11906" w:h="16838"/>
          <w:pgMar w:top="1928" w:right="1134" w:bottom="1134" w:left="1134" w:header="1418" w:footer="1134" w:gutter="284"/>
          <w:cols w:space="425" w:num="1"/>
          <w:formProt w:val="0"/>
          <w:docGrid w:linePitch="312" w:charSpace="0"/>
        </w:sectPr>
      </w:pPr>
    </w:p>
    <w:p w14:paraId="0A015795">
      <w:pPr>
        <w:pStyle w:val="201"/>
        <w:rPr>
          <w:vanish w:val="0"/>
        </w:rPr>
      </w:pPr>
    </w:p>
    <w:p w14:paraId="656F2AA2">
      <w:pPr>
        <w:pStyle w:val="202"/>
        <w:rPr>
          <w:vanish w:val="0"/>
        </w:rPr>
      </w:pPr>
    </w:p>
    <w:p w14:paraId="5105E092">
      <w:pPr>
        <w:pStyle w:val="79"/>
        <w:spacing w:after="120"/>
      </w:pPr>
      <w:r>
        <w:br w:type="textWrapping"/>
      </w:r>
      <w:bookmarkStart w:id="160" w:name="_Toc226108891"/>
      <w:bookmarkStart w:id="161" w:name="_Toc232582266"/>
      <w:bookmarkStart w:id="162" w:name="_Toc218781161"/>
      <w:bookmarkStart w:id="163" w:name="_Toc217395899"/>
      <w:bookmarkStart w:id="164" w:name="_Toc229239448"/>
      <w:bookmarkStart w:id="165" w:name="_Toc235521578"/>
      <w:bookmarkStart w:id="166" w:name="_Toc229239480"/>
      <w:r>
        <w:rPr>
          <w:rFonts w:hint="eastAsia"/>
        </w:rPr>
        <w:t>（资料性）</w:t>
      </w:r>
      <w:r>
        <w:br w:type="textWrapping"/>
      </w:r>
      <w:r>
        <w:rPr>
          <w:rFonts w:hint="eastAsia"/>
        </w:rPr>
        <w:t>仓储</w:t>
      </w:r>
      <w:r>
        <w:t>物流场景</w:t>
      </w:r>
      <w:r>
        <w:rPr>
          <w:rFonts w:hint="eastAsia"/>
        </w:rPr>
        <w:t>应用示例</w:t>
      </w:r>
      <w:bookmarkEnd w:id="160"/>
      <w:bookmarkEnd w:id="161"/>
      <w:bookmarkEnd w:id="162"/>
      <w:bookmarkEnd w:id="163"/>
      <w:bookmarkEnd w:id="164"/>
      <w:bookmarkEnd w:id="165"/>
      <w:bookmarkEnd w:id="166"/>
    </w:p>
    <w:p w14:paraId="5A476198">
      <w:pPr>
        <w:pStyle w:val="59"/>
        <w:ind w:firstLine="420"/>
      </w:pPr>
    </w:p>
    <w:p w14:paraId="07F6C167">
      <w:pPr>
        <w:pStyle w:val="81"/>
        <w:spacing w:before="120" w:after="120"/>
      </w:pPr>
      <w:bookmarkStart w:id="167" w:name="_Toc217395900"/>
      <w:r>
        <w:rPr>
          <w:rFonts w:hint="eastAsia"/>
        </w:rPr>
        <w:t>场景描述</w:t>
      </w:r>
    </w:p>
    <w:p w14:paraId="149A4DD2">
      <w:pPr>
        <w:pStyle w:val="59"/>
        <w:spacing w:before="120" w:after="120"/>
        <w:ind w:firstLine="420"/>
      </w:pPr>
      <w:r>
        <w:rPr>
          <w:rFonts w:hint="eastAsia"/>
        </w:rPr>
        <w:t>某区域分拨中心每日处理超过20万MRO工业品的仓储物流作业，涵盖收货、上架、拣选、复核、发货、调拨补货等仓内全流程。中心按照本文件的规定，对不同层级包装的MRO工业品及其物流单元赋码，并与仓库管理系统深度集成。</w:t>
      </w:r>
    </w:p>
    <w:p w14:paraId="18FDC2B2">
      <w:pPr>
        <w:pStyle w:val="81"/>
        <w:spacing w:before="120" w:after="120"/>
      </w:pPr>
      <w:r>
        <w:rPr>
          <w:rFonts w:hint="eastAsia"/>
        </w:rPr>
        <w:t>应用</w:t>
      </w:r>
      <w:r>
        <w:t>流程</w:t>
      </w:r>
    </w:p>
    <w:p w14:paraId="67058051">
      <w:pPr>
        <w:pStyle w:val="59"/>
        <w:ind w:firstLine="420"/>
      </w:pPr>
      <w:r>
        <w:rPr>
          <w:rFonts w:hint="eastAsia"/>
        </w:rPr>
        <w:t>仓储物流各环节条码应用流程如下:</w:t>
      </w:r>
    </w:p>
    <w:p w14:paraId="05301354">
      <w:pPr>
        <w:pStyle w:val="177"/>
        <w:numPr>
          <w:ilvl w:val="0"/>
          <w:numId w:val="38"/>
        </w:numPr>
      </w:pPr>
      <w:r>
        <w:rPr>
          <w:rFonts w:hint="eastAsia"/>
        </w:rPr>
        <w:t>在入库收货环节，收货员接收运输交货单并扫描物流单元的SSCC，调取采购订单信息进行核对，包括品名、规格、批次、数量和质检状态等；</w:t>
      </w:r>
    </w:p>
    <w:p w14:paraId="716CE49B">
      <w:pPr>
        <w:pStyle w:val="177"/>
      </w:pPr>
      <w:r>
        <w:rPr>
          <w:rFonts w:hint="eastAsia"/>
        </w:rPr>
        <w:t>在入库上架环节，质检员扫描商品条码完成MRO工业品确认,上架员扫描商品条码后，系统自动分配储位，并将商品条码与库位绑定；</w:t>
      </w:r>
    </w:p>
    <w:p w14:paraId="21D1CEAB">
      <w:pPr>
        <w:pStyle w:val="177"/>
      </w:pPr>
      <w:r>
        <w:rPr>
          <w:rFonts w:hint="eastAsia"/>
        </w:rPr>
        <w:t>在订单拣选环节，拣货员接收订单明细后，扫描不同层级包装上的商品条码进行校验拣选，系统实时更新库存；</w:t>
      </w:r>
    </w:p>
    <w:p w14:paraId="084331D6">
      <w:pPr>
        <w:pStyle w:val="177"/>
      </w:pPr>
      <w:r>
        <w:rPr>
          <w:rFonts w:hint="eastAsia"/>
        </w:rPr>
        <w:t>在复核打包环节，复核员逐件扫描商品条码，与订单信息进行比对复核，完全匹配后方可打印发货单，并生成物流单元的SSCC；</w:t>
      </w:r>
    </w:p>
    <w:p w14:paraId="7B0F0199">
      <w:pPr>
        <w:pStyle w:val="177"/>
      </w:pPr>
      <w:r>
        <w:rPr>
          <w:rFonts w:hint="eastAsia"/>
        </w:rPr>
        <w:t>在出库发货环节，发货员扫描物流单元的SSCC，系统生成运输交货单并记录出库时间，完成出库状态更新；</w:t>
      </w:r>
    </w:p>
    <w:p w14:paraId="5F9D777C">
      <w:pPr>
        <w:pStyle w:val="177"/>
      </w:pPr>
      <w:r>
        <w:rPr>
          <w:rFonts w:hint="eastAsia"/>
        </w:rPr>
        <w:t>在库存盘点环节，盘点员周期性扫描库位内的商品条码，系统自动比对实盘数量与账面数量；</w:t>
      </w:r>
    </w:p>
    <w:p w14:paraId="3AB75045">
      <w:pPr>
        <w:pStyle w:val="177"/>
      </w:pPr>
      <w:r>
        <w:rPr>
          <w:rFonts w:hint="eastAsia"/>
        </w:rPr>
        <w:t>在库存调拨环节，仓管员扫描调拨单条码及对应不同层级包装上的商品条码，系统实时更新调出仓和调入仓的库存数据，实现多仓间库存同步；</w:t>
      </w:r>
    </w:p>
    <w:p w14:paraId="4DFE154D">
      <w:pPr>
        <w:pStyle w:val="177"/>
      </w:pPr>
      <w:r>
        <w:rPr>
          <w:rFonts w:hint="eastAsia"/>
        </w:rPr>
        <w:t>在低库存预警与补货环节，系统依据日常扫描记录自动计算安全库存，当库存量达到设定阈值时自动触发补货指令。</w:t>
      </w:r>
    </w:p>
    <w:p w14:paraId="1ACE7293">
      <w:pPr>
        <w:pStyle w:val="59"/>
        <w:spacing w:before="120" w:after="120"/>
        <w:ind w:firstLine="420"/>
      </w:pPr>
    </w:p>
    <w:bookmarkEnd w:id="167"/>
    <w:p w14:paraId="66CDC33B">
      <w:pPr>
        <w:pStyle w:val="59"/>
        <w:ind w:firstLine="420"/>
        <w:sectPr>
          <w:pgSz w:w="11906" w:h="16838"/>
          <w:pgMar w:top="1928" w:right="1134" w:bottom="1134" w:left="1134" w:header="1418" w:footer="1134" w:gutter="284"/>
          <w:cols w:space="425" w:num="1"/>
          <w:formProt w:val="0"/>
          <w:docGrid w:linePitch="312" w:charSpace="0"/>
        </w:sectPr>
      </w:pPr>
    </w:p>
    <w:p w14:paraId="3B85FBEB">
      <w:pPr>
        <w:pStyle w:val="201"/>
        <w:rPr>
          <w:vanish w:val="0"/>
        </w:rPr>
      </w:pPr>
    </w:p>
    <w:p w14:paraId="61475A07">
      <w:pPr>
        <w:pStyle w:val="202"/>
        <w:rPr>
          <w:vanish w:val="0"/>
        </w:rPr>
      </w:pPr>
    </w:p>
    <w:p w14:paraId="0EE036C3">
      <w:pPr>
        <w:pStyle w:val="79"/>
        <w:spacing w:after="120"/>
      </w:pPr>
      <w:r>
        <w:br w:type="textWrapping"/>
      </w:r>
      <w:bookmarkStart w:id="168" w:name="_Toc232582267"/>
      <w:bookmarkStart w:id="169" w:name="_Toc229239449"/>
      <w:bookmarkStart w:id="170" w:name="_Toc235521579"/>
      <w:bookmarkStart w:id="171" w:name="_Toc229239481"/>
      <w:r>
        <w:rPr>
          <w:rFonts w:hint="eastAsia"/>
        </w:rPr>
        <w:t>（资料性）</w:t>
      </w:r>
      <w:r>
        <w:br w:type="textWrapping"/>
      </w:r>
      <w:r>
        <w:rPr>
          <w:rFonts w:hint="eastAsia"/>
        </w:rPr>
        <w:t>质量追溯场景应用示例</w:t>
      </w:r>
      <w:bookmarkEnd w:id="168"/>
      <w:bookmarkEnd w:id="169"/>
      <w:bookmarkEnd w:id="170"/>
      <w:bookmarkEnd w:id="171"/>
    </w:p>
    <w:p w14:paraId="6619FB1E">
      <w:pPr>
        <w:pStyle w:val="59"/>
        <w:ind w:firstLine="420"/>
      </w:pPr>
    </w:p>
    <w:p w14:paraId="39EAA7A3">
      <w:pPr>
        <w:pStyle w:val="81"/>
        <w:spacing w:before="120" w:after="120"/>
      </w:pPr>
      <w:r>
        <w:rPr>
          <w:rFonts w:hint="eastAsia"/>
        </w:rPr>
        <w:t>场景描述</w:t>
      </w:r>
    </w:p>
    <w:p w14:paraId="0C608421">
      <w:pPr>
        <w:pStyle w:val="59"/>
        <w:ind w:firstLine="420"/>
      </w:pPr>
      <w:r>
        <w:rPr>
          <w:rFonts w:hint="eastAsia"/>
        </w:rPr>
        <w:t>某企业使用了某品牌一批次内六角螺钉。数月后，发现该批次六角螺钉存在指标不达标问题，需召回已发放产品。</w:t>
      </w:r>
    </w:p>
    <w:p w14:paraId="38137E00">
      <w:pPr>
        <w:pStyle w:val="81"/>
        <w:spacing w:before="120" w:after="120"/>
      </w:pPr>
      <w:r>
        <w:rPr>
          <w:rFonts w:hint="eastAsia"/>
        </w:rPr>
        <w:t>应用</w:t>
      </w:r>
      <w:r>
        <w:t>流程</w:t>
      </w:r>
    </w:p>
    <w:p w14:paraId="1CCB2011">
      <w:pPr>
        <w:pStyle w:val="59"/>
        <w:spacing w:before="120" w:after="120"/>
        <w:ind w:firstLine="420"/>
      </w:pPr>
      <w:r>
        <w:rPr>
          <w:rFonts w:hint="eastAsia"/>
        </w:rPr>
        <w:t>质量追溯各环节条码应用流程如下：</w:t>
      </w:r>
    </w:p>
    <w:p w14:paraId="2B4F786D">
      <w:pPr>
        <w:pStyle w:val="177"/>
        <w:numPr>
          <w:ilvl w:val="0"/>
          <w:numId w:val="39"/>
        </w:numPr>
      </w:pPr>
      <w:r>
        <w:rPr>
          <w:rFonts w:hint="eastAsia"/>
        </w:rPr>
        <w:t>在批次追溯方面，质量追溯专员在系统中输入含附加属性信息商品条码，即由GTIN及问题批次号生成的追溯码，系统通过追溯码关联全部入库、出库、领用和使用记录，自动展示该批次</w:t>
      </w:r>
      <w:bookmarkStart w:id="172" w:name="OLE_LINK46"/>
      <w:bookmarkStart w:id="173" w:name="OLE_LINK47"/>
      <w:r>
        <w:rPr>
          <w:rFonts w:hint="eastAsia"/>
        </w:rPr>
        <w:t>内六角螺钉</w:t>
      </w:r>
      <w:bookmarkEnd w:id="172"/>
      <w:bookmarkEnd w:id="173"/>
      <w:r>
        <w:rPr>
          <w:rFonts w:hint="eastAsia"/>
        </w:rPr>
        <w:t>发放至不同使用</w:t>
      </w:r>
      <w:r>
        <w:t>车间</w:t>
      </w:r>
      <w:r>
        <w:rPr>
          <w:rFonts w:hint="eastAsia"/>
        </w:rPr>
        <w:t>的数量、领用人员及使用时间。追溯链条覆盖了供应商、中心仓、工厂仓库、车间工位的完整路径，质量追溯专员基于以上信息生成召回报告；</w:t>
      </w:r>
    </w:p>
    <w:p w14:paraId="04E724C0">
      <w:pPr>
        <w:pStyle w:val="177"/>
        <w:rPr>
          <w:rFonts w:ascii="黑体" w:eastAsia="黑体"/>
          <w:kern w:val="21"/>
        </w:rPr>
      </w:pPr>
      <w:r>
        <w:rPr>
          <w:rFonts w:hint="eastAsia"/>
        </w:rPr>
        <w:t>生产车间主管扫描工位上剩余内六角螺钉外包装上的追溯码，可快速判断剩余数量是否属于同批次，现场扫码确认，无需依赖人工台账，实现了生产企业与终端用户之间召回信息的双向联动。</w:t>
      </w:r>
    </w:p>
    <w:p w14:paraId="15F1C4CA">
      <w:pPr>
        <w:pStyle w:val="59"/>
        <w:ind w:firstLine="420"/>
      </w:pPr>
    </w:p>
    <w:p w14:paraId="4870B583">
      <w:pPr>
        <w:pStyle w:val="59"/>
        <w:ind w:firstLine="420"/>
      </w:pPr>
    </w:p>
    <w:bookmarkEnd w:id="150"/>
    <w:p w14:paraId="08DC2257">
      <w:pPr>
        <w:pStyle w:val="59"/>
        <w:ind w:firstLine="0" w:firstLineChars="0"/>
        <w:jc w:val="center"/>
      </w:pPr>
      <w:bookmarkStart w:id="174" w:name="BookMark8"/>
      <w:r>
        <w:drawing>
          <wp:inline distT="0" distB="0" distL="0" distR="0">
            <wp:extent cx="1485900" cy="317500"/>
            <wp:effectExtent l="0" t="0" r="0" b="635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24">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174"/>
    </w:p>
    <w:sectPr>
      <w:pgSz w:w="11906" w:h="16838"/>
      <w:pgMar w:top="1928" w:right="1134" w:bottom="1134" w:left="1134" w:header="1418" w:footer="1134" w:gutter="284"/>
      <w:cols w:space="425"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MS Mincho">
    <w:altName w:val="Yu Gothic UI"/>
    <w:panose1 w:val="02020609040205080304"/>
    <w:charset w:val="80"/>
    <w:family w:val="moder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30DA22">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062F03">
    <w:pPr>
      <w:pStyle w:val="18"/>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AF51EA">
    <w:pPr>
      <w:pStyle w:val="18"/>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3EB30">
    <w:pPr>
      <w:pStyle w:val="55"/>
    </w:pPr>
    <w:r>
      <w:fldChar w:fldCharType="begin"/>
    </w:r>
    <w:r>
      <w:instrText xml:space="preserve">PAGE   \* MERGEFORMAT</w:instrText>
    </w:r>
    <w:r>
      <w:fldChar w:fldCharType="separate"/>
    </w:r>
    <w:r>
      <w:rPr>
        <w:lang w:val="zh-CN"/>
      </w:rPr>
      <w:t>5</w:t>
    </w:r>
    <w:r>
      <w:fldChar w:fldCharType="end"/>
    </w:r>
  </w:p>
  <w:p w14:paraId="7EF8527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CFDA4">
    <w:pPr>
      <w:pStyle w:val="19"/>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5A614">
    <w:pPr>
      <w:pStyle w:val="1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2D018">
    <w:pPr>
      <w:pStyle w:val="19"/>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4A29A0">
    <w:pPr>
      <w:pStyle w:val="64"/>
    </w:pPr>
    <w:r>
      <w:fldChar w:fldCharType="begin"/>
    </w:r>
    <w:r>
      <w:instrText xml:space="preserve"> STYLEREF  标准文件_文件编号  \* MERGEFORMAT </w:instrText>
    </w:r>
    <w:r>
      <w:fldChar w:fldCharType="separate"/>
    </w:r>
    <w:r>
      <w:t>T/XXX XXXX—XXXX</w:t>
    </w:r>
    <w:r>
      <w:fldChar w:fldCharType="end"/>
    </w:r>
  </w:p>
  <w:p w14:paraId="7331DA23"/>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EC598E">
    <w:pPr>
      <w:pStyle w:val="19"/>
      <w:jc w:val="right"/>
    </w:pPr>
    <w:r>
      <w:fldChar w:fldCharType="begin"/>
    </w:r>
    <w:r>
      <w:instrText xml:space="preserve"> STYLEREF  标准文件_文件编号  \* MERGEFORMAT </w:instrText>
    </w:r>
    <w:r>
      <w:fldChar w:fldCharType="separate"/>
    </w:r>
    <w:r>
      <w:t>T/XXX XXXX—XXXX</w:t>
    </w:r>
    <w:r>
      <w:fldChar w:fldCharType="end"/>
    </w:r>
  </w:p>
  <w:p w14:paraId="4778454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7"/>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2"/>
      <w:suff w:val="nothing"/>
      <w:lvlText w:val="%1%2.%3　"/>
      <w:lvlJc w:val="left"/>
      <w:pPr>
        <w:ind w:left="0" w:firstLine="0"/>
      </w:pPr>
    </w:lvl>
    <w:lvl w:ilvl="3" w:tentative="0">
      <w:start w:val="1"/>
      <w:numFmt w:val="decimal"/>
      <w:pStyle w:val="121"/>
      <w:suff w:val="nothing"/>
      <w:lvlText w:val="%1%2.%3.%4　"/>
      <w:lvlJc w:val="left"/>
      <w:pPr>
        <w:ind w:left="0" w:firstLine="0"/>
      </w:pPr>
    </w:lvl>
    <w:lvl w:ilvl="4" w:tentative="0">
      <w:start w:val="1"/>
      <w:numFmt w:val="decimal"/>
      <w:pStyle w:val="156"/>
      <w:suff w:val="nothing"/>
      <w:lvlText w:val="%1%2.%3.%4.%5　"/>
      <w:lvlJc w:val="left"/>
      <w:pPr>
        <w:ind w:left="0" w:firstLine="0"/>
      </w:pPr>
    </w:lvl>
    <w:lvl w:ilvl="5" w:tentative="0">
      <w:start w:val="1"/>
      <w:numFmt w:val="decimal"/>
      <w:pStyle w:val="158"/>
      <w:suff w:val="nothing"/>
      <w:lvlText w:val="%1%2.%3.%4.%5.%6　"/>
      <w:lvlJc w:val="left"/>
      <w:pPr>
        <w:ind w:left="0" w:firstLine="0"/>
      </w:pPr>
    </w:lvl>
    <w:lvl w:ilvl="6" w:tentative="0">
      <w:start w:val="1"/>
      <w:numFmt w:val="decimal"/>
      <w:pStyle w:val="161"/>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3"/>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92"/>
      <w:lvlText w:val="%1"/>
      <w:lvlJc w:val="left"/>
      <w:pPr>
        <w:ind w:left="425" w:hanging="425"/>
      </w:pPr>
      <w:rPr>
        <w:rFonts w:hint="eastAsia"/>
      </w:rPr>
    </w:lvl>
    <w:lvl w:ilvl="1" w:tentative="0">
      <w:start w:val="1"/>
      <w:numFmt w:val="decimal"/>
      <w:pStyle w:val="203"/>
      <w:suff w:val="nothing"/>
      <w:lvlText w:val="%10.%2 "/>
      <w:lvlJc w:val="left"/>
      <w:pPr>
        <w:ind w:left="0" w:firstLine="0"/>
      </w:pPr>
      <w:rPr>
        <w:rFonts w:hint="eastAsia" w:ascii="黑体" w:eastAsia="黑体" w:hAnsiTheme="minorHAnsi"/>
        <w:b w:val="0"/>
        <w:i w:val="0"/>
        <w:sz w:val="21"/>
      </w:rPr>
    </w:lvl>
    <w:lvl w:ilvl="2" w:tentative="0">
      <w:start w:val="1"/>
      <w:numFmt w:val="decimal"/>
      <w:pStyle w:val="204"/>
      <w:suff w:val="nothing"/>
      <w:lvlText w:val="%10.%2.%3 "/>
      <w:lvlJc w:val="left"/>
      <w:pPr>
        <w:ind w:left="0" w:firstLine="0"/>
      </w:pPr>
      <w:rPr>
        <w:rFonts w:hint="eastAsia" w:ascii="黑体" w:eastAsia="黑体" w:hAnsiTheme="minorHAnsi"/>
        <w:b w:val="0"/>
        <w:i w:val="0"/>
        <w:sz w:val="21"/>
      </w:rPr>
    </w:lvl>
    <w:lvl w:ilvl="3" w:tentative="0">
      <w:start w:val="1"/>
      <w:numFmt w:val="decimal"/>
      <w:pStyle w:val="205"/>
      <w:suff w:val="nothing"/>
      <w:lvlText w:val="%10.%2.%3.%4 "/>
      <w:lvlJc w:val="left"/>
      <w:pPr>
        <w:ind w:left="0" w:firstLine="0"/>
      </w:pPr>
      <w:rPr>
        <w:rFonts w:hint="eastAsia" w:ascii="黑体" w:eastAsia="黑体" w:hAnsiTheme="minorHAnsi"/>
        <w:b w:val="0"/>
        <w:i w:val="0"/>
        <w:sz w:val="21"/>
      </w:rPr>
    </w:lvl>
    <w:lvl w:ilvl="4" w:tentative="0">
      <w:start w:val="1"/>
      <w:numFmt w:val="decimal"/>
      <w:pStyle w:val="206"/>
      <w:suff w:val="nothing"/>
      <w:lvlText w:val="%10.%2.%3.%4.%5 "/>
      <w:lvlJc w:val="left"/>
      <w:pPr>
        <w:ind w:left="0" w:firstLine="0"/>
      </w:pPr>
      <w:rPr>
        <w:rFonts w:hint="eastAsia" w:ascii="黑体" w:eastAsia="黑体" w:hAnsiTheme="minorHAnsi"/>
        <w:b w:val="0"/>
        <w:i w:val="0"/>
        <w:sz w:val="21"/>
      </w:rPr>
    </w:lvl>
    <w:lvl w:ilvl="5" w:tentative="0">
      <w:start w:val="1"/>
      <w:numFmt w:val="decimal"/>
      <w:pStyle w:val="207"/>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4"/>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70"/>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72"/>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3"/>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8"/>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5"/>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5"/>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0"/>
      <w:lvlText w:val=""/>
      <w:lvlJc w:val="left"/>
      <w:pPr>
        <w:ind w:left="851" w:hanging="431"/>
      </w:pPr>
      <w:rPr>
        <w:rFonts w:hint="default" w:ascii="Symbol" w:hAnsi="Symbol"/>
        <w:sz w:val="21"/>
      </w:rPr>
    </w:lvl>
    <w:lvl w:ilvl="2" w:tentative="0">
      <w:start w:val="1"/>
      <w:numFmt w:val="bullet"/>
      <w:pStyle w:val="175"/>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4"/>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7"/>
      <w:lvlText w:val="%1)"/>
      <w:lvlJc w:val="left"/>
      <w:pPr>
        <w:tabs>
          <w:tab w:val="left" w:pos="851"/>
        </w:tabs>
        <w:ind w:left="851" w:hanging="426"/>
      </w:pPr>
      <w:rPr>
        <w:rFonts w:hint="eastAsia" w:ascii="宋体" w:hAnsi="Times New Roman" w:eastAsia="宋体"/>
        <w:sz w:val="21"/>
      </w:rPr>
    </w:lvl>
    <w:lvl w:ilvl="1" w:tentative="0">
      <w:start w:val="1"/>
      <w:numFmt w:val="decimal"/>
      <w:pStyle w:val="112"/>
      <w:lvlText w:val="%2)"/>
      <w:lvlJc w:val="left"/>
      <w:pPr>
        <w:tabs>
          <w:tab w:val="left" w:pos="1276"/>
        </w:tabs>
        <w:ind w:left="1276" w:hanging="425"/>
      </w:pPr>
      <w:rPr>
        <w:rFonts w:hint="eastAsia" w:ascii="宋体" w:hAnsi="Times New Roman" w:eastAsia="宋体"/>
        <w:sz w:val="21"/>
      </w:rPr>
    </w:lvl>
    <w:lvl w:ilvl="2" w:tentative="0">
      <w:start w:val="1"/>
      <w:numFmt w:val="decimal"/>
      <w:pStyle w:val="120"/>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201"/>
      <w:lvlText w:val="%1"/>
      <w:lvlJc w:val="left"/>
      <w:pPr>
        <w:ind w:left="420" w:hanging="420"/>
      </w:pPr>
      <w:rPr>
        <w:rFonts w:hint="eastAsia"/>
      </w:rPr>
    </w:lvl>
    <w:lvl w:ilvl="1" w:tentative="0">
      <w:start w:val="1"/>
      <w:numFmt w:val="decimal"/>
      <w:pStyle w:val="86"/>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6"/>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9"/>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6"/>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7"/>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202"/>
      <w:suff w:val="space"/>
      <w:lvlText w:val="%1"/>
      <w:lvlJc w:val="left"/>
      <w:pPr>
        <w:ind w:left="425" w:hanging="425"/>
      </w:pPr>
      <w:rPr>
        <w:rFonts w:hint="eastAsia"/>
      </w:rPr>
    </w:lvl>
    <w:lvl w:ilvl="1" w:tentative="0">
      <w:start w:val="1"/>
      <w:numFmt w:val="decimal"/>
      <w:pStyle w:val="80"/>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4"/>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71"/>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5"/>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92"/>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9"/>
      <w:suff w:val="nothing"/>
      <w:lvlText w:val="附录%1"/>
      <w:lvlJc w:val="left"/>
      <w:pPr>
        <w:ind w:left="0" w:firstLine="0"/>
      </w:pPr>
      <w:rPr>
        <w:rFonts w:hint="eastAsia"/>
        <w:spacing w:val="100"/>
      </w:rPr>
    </w:lvl>
    <w:lvl w:ilvl="1" w:tentative="0">
      <w:start w:val="1"/>
      <w:numFmt w:val="decimal"/>
      <w:pStyle w:val="81"/>
      <w:suff w:val="nothing"/>
      <w:lvlText w:val="%1.%2　"/>
      <w:lvlJc w:val="left"/>
      <w:pPr>
        <w:ind w:left="0" w:firstLine="0"/>
      </w:pPr>
      <w:rPr>
        <w:rFonts w:hint="eastAsia" w:ascii="黑体" w:eastAsia="黑体"/>
        <w:b w:val="0"/>
        <w:i w:val="0"/>
        <w:sz w:val="21"/>
      </w:rPr>
    </w:lvl>
    <w:lvl w:ilvl="2" w:tentative="0">
      <w:start w:val="1"/>
      <w:numFmt w:val="decimal"/>
      <w:pStyle w:val="82"/>
      <w:suff w:val="nothing"/>
      <w:lvlText w:val="%1.%2.%3　"/>
      <w:lvlJc w:val="left"/>
      <w:pPr>
        <w:ind w:left="0" w:firstLine="0"/>
      </w:pPr>
      <w:rPr>
        <w:rFonts w:hint="eastAsia" w:ascii="黑体" w:eastAsia="黑体"/>
        <w:b w:val="0"/>
        <w:i w:val="0"/>
        <w:sz w:val="21"/>
      </w:rPr>
    </w:lvl>
    <w:lvl w:ilvl="3" w:tentative="0">
      <w:start w:val="1"/>
      <w:numFmt w:val="decimal"/>
      <w:pStyle w:val="84"/>
      <w:suff w:val="nothing"/>
      <w:lvlText w:val="%1.%2.%3.%4　"/>
      <w:lvlJc w:val="left"/>
      <w:pPr>
        <w:ind w:left="0" w:firstLine="0"/>
      </w:pPr>
      <w:rPr>
        <w:rFonts w:hint="eastAsia" w:ascii="黑体" w:eastAsia="黑体"/>
        <w:b w:val="0"/>
        <w:i w:val="0"/>
        <w:sz w:val="21"/>
      </w:rPr>
    </w:lvl>
    <w:lvl w:ilvl="4" w:tentative="0">
      <w:start w:val="1"/>
      <w:numFmt w:val="decimal"/>
      <w:pStyle w:val="85"/>
      <w:suff w:val="nothing"/>
      <w:lvlText w:val="%1.%2.%3.%4.%5　"/>
      <w:lvlJc w:val="left"/>
      <w:pPr>
        <w:ind w:left="0" w:firstLine="0"/>
      </w:pPr>
      <w:rPr>
        <w:rFonts w:hint="eastAsia" w:ascii="黑体" w:eastAsia="黑体"/>
        <w:b w:val="0"/>
        <w:i w:val="0"/>
        <w:sz w:val="21"/>
      </w:rPr>
    </w:lvl>
    <w:lvl w:ilvl="5" w:tentative="0">
      <w:start w:val="1"/>
      <w:numFmt w:val="decimal"/>
      <w:pStyle w:val="87"/>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91"/>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100"/>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6"/>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5"/>
      <w:suff w:val="nothing"/>
      <w:lvlText w:val="%1"/>
      <w:lvlJc w:val="left"/>
      <w:pPr>
        <w:ind w:left="0" w:firstLine="0"/>
      </w:pPr>
      <w:rPr>
        <w:rFonts w:hint="eastAsia"/>
      </w:rPr>
    </w:lvl>
    <w:lvl w:ilvl="1" w:tentative="0">
      <w:start w:val="1"/>
      <w:numFmt w:val="decimal"/>
      <w:pStyle w:val="107"/>
      <w:suff w:val="nothing"/>
      <w:lvlText w:val="%1%2　"/>
      <w:lvlJc w:val="left"/>
      <w:pPr>
        <w:ind w:left="0" w:firstLine="0"/>
      </w:pPr>
      <w:rPr>
        <w:rFonts w:hint="eastAsia" w:ascii="黑体" w:eastAsia="黑体"/>
        <w:b w:val="0"/>
        <w:i w:val="0"/>
        <w:sz w:val="21"/>
      </w:rPr>
    </w:lvl>
    <w:lvl w:ilvl="2" w:tentative="0">
      <w:start w:val="1"/>
      <w:numFmt w:val="decimal"/>
      <w:pStyle w:val="108"/>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68"/>
      <w:suff w:val="nothing"/>
      <w:lvlText w:val="%1%2.%3.%4　"/>
      <w:lvlJc w:val="left"/>
      <w:pPr>
        <w:ind w:left="0" w:firstLine="0"/>
      </w:pPr>
      <w:rPr>
        <w:rFonts w:hint="eastAsia" w:ascii="黑体" w:eastAsia="黑体"/>
        <w:b w:val="0"/>
        <w:i w:val="0"/>
        <w:sz w:val="21"/>
      </w:rPr>
    </w:lvl>
    <w:lvl w:ilvl="4" w:tentative="0">
      <w:start w:val="1"/>
      <w:numFmt w:val="decimal"/>
      <w:pStyle w:val="97"/>
      <w:suff w:val="nothing"/>
      <w:lvlText w:val="%1%2.%3.%4.%5　"/>
      <w:lvlJc w:val="left"/>
      <w:pPr>
        <w:ind w:left="0" w:firstLine="0"/>
      </w:pPr>
      <w:rPr>
        <w:rFonts w:hint="eastAsia" w:ascii="黑体" w:eastAsia="黑体"/>
        <w:b w:val="0"/>
        <w:i w:val="0"/>
        <w:sz w:val="21"/>
      </w:rPr>
    </w:lvl>
    <w:lvl w:ilvl="5" w:tentative="0">
      <w:start w:val="1"/>
      <w:numFmt w:val="decimal"/>
      <w:pStyle w:val="101"/>
      <w:suff w:val="nothing"/>
      <w:lvlText w:val="%1%2.%3.%4.%5.%6　"/>
      <w:lvlJc w:val="left"/>
      <w:pPr>
        <w:ind w:left="0" w:firstLine="0"/>
      </w:pPr>
      <w:rPr>
        <w:rFonts w:hint="eastAsia" w:ascii="黑体" w:eastAsia="黑体"/>
        <w:b w:val="0"/>
        <w:i w:val="0"/>
        <w:sz w:val="21"/>
      </w:rPr>
    </w:lvl>
    <w:lvl w:ilvl="6" w:tentative="0">
      <w:start w:val="1"/>
      <w:numFmt w:val="decimal"/>
      <w:pStyle w:val="106"/>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82"/>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8"/>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42"/>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attachedTemplate r:id="rId1"/>
  <w:documentProtection w:edit="forms" w:enforcement="0"/>
  <w:defaultTabStop w:val="42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78A"/>
    <w:rsid w:val="0000040A"/>
    <w:rsid w:val="00000A94"/>
    <w:rsid w:val="00001972"/>
    <w:rsid w:val="00001D9A"/>
    <w:rsid w:val="00002269"/>
    <w:rsid w:val="00007B3A"/>
    <w:rsid w:val="000107E0"/>
    <w:rsid w:val="00011FDE"/>
    <w:rsid w:val="00012FFD"/>
    <w:rsid w:val="00014162"/>
    <w:rsid w:val="00014340"/>
    <w:rsid w:val="00014D89"/>
    <w:rsid w:val="00016A9C"/>
    <w:rsid w:val="00022184"/>
    <w:rsid w:val="00022762"/>
    <w:rsid w:val="000238E0"/>
    <w:rsid w:val="000249DB"/>
    <w:rsid w:val="0002595E"/>
    <w:rsid w:val="000303C3"/>
    <w:rsid w:val="000331D3"/>
    <w:rsid w:val="000346A5"/>
    <w:rsid w:val="000359C3"/>
    <w:rsid w:val="00035A7D"/>
    <w:rsid w:val="000365ED"/>
    <w:rsid w:val="00036F5B"/>
    <w:rsid w:val="00037E33"/>
    <w:rsid w:val="0004249A"/>
    <w:rsid w:val="00043282"/>
    <w:rsid w:val="00043311"/>
    <w:rsid w:val="00044286"/>
    <w:rsid w:val="00044392"/>
    <w:rsid w:val="00044854"/>
    <w:rsid w:val="00047F28"/>
    <w:rsid w:val="000503AA"/>
    <w:rsid w:val="000506A1"/>
    <w:rsid w:val="000515DD"/>
    <w:rsid w:val="00052360"/>
    <w:rsid w:val="0005265A"/>
    <w:rsid w:val="000539DD"/>
    <w:rsid w:val="00053BD3"/>
    <w:rsid w:val="000556ED"/>
    <w:rsid w:val="00055FE2"/>
    <w:rsid w:val="0005616F"/>
    <w:rsid w:val="00060679"/>
    <w:rsid w:val="00060C2E"/>
    <w:rsid w:val="00061033"/>
    <w:rsid w:val="000619E9"/>
    <w:rsid w:val="000622D4"/>
    <w:rsid w:val="0006357D"/>
    <w:rsid w:val="000652EE"/>
    <w:rsid w:val="00067139"/>
    <w:rsid w:val="00067F1E"/>
    <w:rsid w:val="00071CC0"/>
    <w:rsid w:val="00071CFC"/>
    <w:rsid w:val="00073C8C"/>
    <w:rsid w:val="00074571"/>
    <w:rsid w:val="00077B64"/>
    <w:rsid w:val="00080A1C"/>
    <w:rsid w:val="00082317"/>
    <w:rsid w:val="0008376F"/>
    <w:rsid w:val="00083D2C"/>
    <w:rsid w:val="00086AA1"/>
    <w:rsid w:val="00087A77"/>
    <w:rsid w:val="00090A15"/>
    <w:rsid w:val="00090CA6"/>
    <w:rsid w:val="00092B8A"/>
    <w:rsid w:val="00092FB0"/>
    <w:rsid w:val="0009324E"/>
    <w:rsid w:val="000934C5"/>
    <w:rsid w:val="00093D25"/>
    <w:rsid w:val="00093DAB"/>
    <w:rsid w:val="000942AF"/>
    <w:rsid w:val="00094D73"/>
    <w:rsid w:val="00094F42"/>
    <w:rsid w:val="00096D63"/>
    <w:rsid w:val="000A0B60"/>
    <w:rsid w:val="000A0EB8"/>
    <w:rsid w:val="000A19FC"/>
    <w:rsid w:val="000A296B"/>
    <w:rsid w:val="000A5A63"/>
    <w:rsid w:val="000A66BB"/>
    <w:rsid w:val="000A7311"/>
    <w:rsid w:val="000B011D"/>
    <w:rsid w:val="000B060F"/>
    <w:rsid w:val="000B130F"/>
    <w:rsid w:val="000B1592"/>
    <w:rsid w:val="000B1FF2"/>
    <w:rsid w:val="000B23FF"/>
    <w:rsid w:val="000B3CDA"/>
    <w:rsid w:val="000B4768"/>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5F6B"/>
    <w:rsid w:val="000D753B"/>
    <w:rsid w:val="000E4C9E"/>
    <w:rsid w:val="000E6FD7"/>
    <w:rsid w:val="000E7144"/>
    <w:rsid w:val="000F06E1"/>
    <w:rsid w:val="000F0DAB"/>
    <w:rsid w:val="000F0E3C"/>
    <w:rsid w:val="000F19D5"/>
    <w:rsid w:val="000F4050"/>
    <w:rsid w:val="000F4AEA"/>
    <w:rsid w:val="000F67E9"/>
    <w:rsid w:val="00104926"/>
    <w:rsid w:val="00110636"/>
    <w:rsid w:val="00112B32"/>
    <w:rsid w:val="00113B1E"/>
    <w:rsid w:val="0011711C"/>
    <w:rsid w:val="00124E4F"/>
    <w:rsid w:val="001260B7"/>
    <w:rsid w:val="001265CB"/>
    <w:rsid w:val="001321C6"/>
    <w:rsid w:val="001325C4"/>
    <w:rsid w:val="00133010"/>
    <w:rsid w:val="001338EE"/>
    <w:rsid w:val="00133AAE"/>
    <w:rsid w:val="001342D6"/>
    <w:rsid w:val="00135323"/>
    <w:rsid w:val="001356C4"/>
    <w:rsid w:val="00135823"/>
    <w:rsid w:val="00137565"/>
    <w:rsid w:val="00141114"/>
    <w:rsid w:val="0014196F"/>
    <w:rsid w:val="00142969"/>
    <w:rsid w:val="001446C2"/>
    <w:rsid w:val="00144A5D"/>
    <w:rsid w:val="00144D8C"/>
    <w:rsid w:val="001457E7"/>
    <w:rsid w:val="00145D9D"/>
    <w:rsid w:val="00146388"/>
    <w:rsid w:val="00150918"/>
    <w:rsid w:val="001529E5"/>
    <w:rsid w:val="00152FB3"/>
    <w:rsid w:val="00153C7E"/>
    <w:rsid w:val="00156B25"/>
    <w:rsid w:val="00156E1A"/>
    <w:rsid w:val="00157894"/>
    <w:rsid w:val="00157B55"/>
    <w:rsid w:val="0016136A"/>
    <w:rsid w:val="001642FA"/>
    <w:rsid w:val="001649EB"/>
    <w:rsid w:val="00164BAF"/>
    <w:rsid w:val="00164FA8"/>
    <w:rsid w:val="00165065"/>
    <w:rsid w:val="00165434"/>
    <w:rsid w:val="0016580B"/>
    <w:rsid w:val="00165F49"/>
    <w:rsid w:val="00166B88"/>
    <w:rsid w:val="00167315"/>
    <w:rsid w:val="0016770A"/>
    <w:rsid w:val="00170804"/>
    <w:rsid w:val="001708E9"/>
    <w:rsid w:val="00172496"/>
    <w:rsid w:val="0017340B"/>
    <w:rsid w:val="00173FB1"/>
    <w:rsid w:val="00176DFD"/>
    <w:rsid w:val="001852C9"/>
    <w:rsid w:val="00187A0B"/>
    <w:rsid w:val="00190087"/>
    <w:rsid w:val="0019070E"/>
    <w:rsid w:val="001913C4"/>
    <w:rsid w:val="0019348F"/>
    <w:rsid w:val="00193A07"/>
    <w:rsid w:val="00194C95"/>
    <w:rsid w:val="00195C34"/>
    <w:rsid w:val="00196EF5"/>
    <w:rsid w:val="001A1A53"/>
    <w:rsid w:val="001A234A"/>
    <w:rsid w:val="001A4CF3"/>
    <w:rsid w:val="001A6696"/>
    <w:rsid w:val="001A7549"/>
    <w:rsid w:val="001B06E8"/>
    <w:rsid w:val="001B38B8"/>
    <w:rsid w:val="001B71D0"/>
    <w:rsid w:val="001B71EE"/>
    <w:rsid w:val="001C04A8"/>
    <w:rsid w:val="001C2C03"/>
    <w:rsid w:val="001C42F7"/>
    <w:rsid w:val="001C49E5"/>
    <w:rsid w:val="001C680C"/>
    <w:rsid w:val="001C767F"/>
    <w:rsid w:val="001C7FEA"/>
    <w:rsid w:val="001D03F0"/>
    <w:rsid w:val="001D0499"/>
    <w:rsid w:val="001D0BBE"/>
    <w:rsid w:val="001D0ED4"/>
    <w:rsid w:val="001D212F"/>
    <w:rsid w:val="001D29D7"/>
    <w:rsid w:val="001D2DE7"/>
    <w:rsid w:val="001D411C"/>
    <w:rsid w:val="001E1740"/>
    <w:rsid w:val="001E1A0B"/>
    <w:rsid w:val="001E1B6A"/>
    <w:rsid w:val="001E2484"/>
    <w:rsid w:val="001E3CC4"/>
    <w:rsid w:val="001E4882"/>
    <w:rsid w:val="001E56CC"/>
    <w:rsid w:val="001E73AB"/>
    <w:rsid w:val="001F092D"/>
    <w:rsid w:val="001F13CA"/>
    <w:rsid w:val="001F143A"/>
    <w:rsid w:val="001F1605"/>
    <w:rsid w:val="001F183B"/>
    <w:rsid w:val="001F2508"/>
    <w:rsid w:val="001F3612"/>
    <w:rsid w:val="001F4816"/>
    <w:rsid w:val="001F69B4"/>
    <w:rsid w:val="001F77C7"/>
    <w:rsid w:val="001F7C9D"/>
    <w:rsid w:val="00200183"/>
    <w:rsid w:val="00200333"/>
    <w:rsid w:val="0020107D"/>
    <w:rsid w:val="00202AA4"/>
    <w:rsid w:val="002031F7"/>
    <w:rsid w:val="00203FFC"/>
    <w:rsid w:val="002040E6"/>
    <w:rsid w:val="0020527B"/>
    <w:rsid w:val="00205F2C"/>
    <w:rsid w:val="00210B15"/>
    <w:rsid w:val="00211F39"/>
    <w:rsid w:val="00212530"/>
    <w:rsid w:val="002142EA"/>
    <w:rsid w:val="00215ADD"/>
    <w:rsid w:val="00216A58"/>
    <w:rsid w:val="002204BB"/>
    <w:rsid w:val="00221B79"/>
    <w:rsid w:val="00221C6B"/>
    <w:rsid w:val="00221E97"/>
    <w:rsid w:val="002253A1"/>
    <w:rsid w:val="00225CF8"/>
    <w:rsid w:val="0022794E"/>
    <w:rsid w:val="00233D64"/>
    <w:rsid w:val="0023482A"/>
    <w:rsid w:val="002359CB"/>
    <w:rsid w:val="00243540"/>
    <w:rsid w:val="00243E85"/>
    <w:rsid w:val="0024497B"/>
    <w:rsid w:val="0024515B"/>
    <w:rsid w:val="00246021"/>
    <w:rsid w:val="0024666E"/>
    <w:rsid w:val="00247F52"/>
    <w:rsid w:val="00250B25"/>
    <w:rsid w:val="00250BBE"/>
    <w:rsid w:val="00250CBB"/>
    <w:rsid w:val="002515C2"/>
    <w:rsid w:val="0025194F"/>
    <w:rsid w:val="00252FA7"/>
    <w:rsid w:val="0026148A"/>
    <w:rsid w:val="00262696"/>
    <w:rsid w:val="00263D25"/>
    <w:rsid w:val="002643C3"/>
    <w:rsid w:val="00264A0C"/>
    <w:rsid w:val="00265F67"/>
    <w:rsid w:val="00266EEB"/>
    <w:rsid w:val="00267EF4"/>
    <w:rsid w:val="00270CB8"/>
    <w:rsid w:val="00272B08"/>
    <w:rsid w:val="00281BB8"/>
    <w:rsid w:val="00281E9E"/>
    <w:rsid w:val="00282405"/>
    <w:rsid w:val="00285170"/>
    <w:rsid w:val="00285361"/>
    <w:rsid w:val="00292D60"/>
    <w:rsid w:val="0029313F"/>
    <w:rsid w:val="00293B30"/>
    <w:rsid w:val="00294D34"/>
    <w:rsid w:val="00294E3B"/>
    <w:rsid w:val="00296193"/>
    <w:rsid w:val="00296C66"/>
    <w:rsid w:val="00296EBE"/>
    <w:rsid w:val="002973FF"/>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2FA"/>
    <w:rsid w:val="002B4508"/>
    <w:rsid w:val="002B5779"/>
    <w:rsid w:val="002B599D"/>
    <w:rsid w:val="002B7332"/>
    <w:rsid w:val="002B7F51"/>
    <w:rsid w:val="002C09E7"/>
    <w:rsid w:val="002C1E06"/>
    <w:rsid w:val="002C3F07"/>
    <w:rsid w:val="002C5278"/>
    <w:rsid w:val="002C7EBB"/>
    <w:rsid w:val="002D06C1"/>
    <w:rsid w:val="002D274B"/>
    <w:rsid w:val="002D2960"/>
    <w:rsid w:val="002D42B5"/>
    <w:rsid w:val="002D4F1A"/>
    <w:rsid w:val="002D6EC6"/>
    <w:rsid w:val="002D79AC"/>
    <w:rsid w:val="002E039D"/>
    <w:rsid w:val="002E16C1"/>
    <w:rsid w:val="002E4D5A"/>
    <w:rsid w:val="002E55A4"/>
    <w:rsid w:val="002E6326"/>
    <w:rsid w:val="002F05CE"/>
    <w:rsid w:val="002F30E0"/>
    <w:rsid w:val="002F35E4"/>
    <w:rsid w:val="002F3730"/>
    <w:rsid w:val="002F38E1"/>
    <w:rsid w:val="002F61F2"/>
    <w:rsid w:val="002F7AF6"/>
    <w:rsid w:val="0030078A"/>
    <w:rsid w:val="00300E63"/>
    <w:rsid w:val="00301338"/>
    <w:rsid w:val="00302F5F"/>
    <w:rsid w:val="0030441D"/>
    <w:rsid w:val="00306063"/>
    <w:rsid w:val="00313B85"/>
    <w:rsid w:val="00317988"/>
    <w:rsid w:val="003221B4"/>
    <w:rsid w:val="0032258D"/>
    <w:rsid w:val="00322E62"/>
    <w:rsid w:val="00324D13"/>
    <w:rsid w:val="00324EDD"/>
    <w:rsid w:val="003331E4"/>
    <w:rsid w:val="00333CB3"/>
    <w:rsid w:val="00335A78"/>
    <w:rsid w:val="00336C64"/>
    <w:rsid w:val="00337162"/>
    <w:rsid w:val="0034194F"/>
    <w:rsid w:val="00344605"/>
    <w:rsid w:val="003474AA"/>
    <w:rsid w:val="00350D1D"/>
    <w:rsid w:val="00352C83"/>
    <w:rsid w:val="00352F1A"/>
    <w:rsid w:val="00353E3B"/>
    <w:rsid w:val="0036107C"/>
    <w:rsid w:val="003615D2"/>
    <w:rsid w:val="00362C6F"/>
    <w:rsid w:val="0036429C"/>
    <w:rsid w:val="00364A53"/>
    <w:rsid w:val="00364AED"/>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74EB"/>
    <w:rsid w:val="00397CC5"/>
    <w:rsid w:val="003A11D1"/>
    <w:rsid w:val="003A1582"/>
    <w:rsid w:val="003A3D9C"/>
    <w:rsid w:val="003A4077"/>
    <w:rsid w:val="003A4AA7"/>
    <w:rsid w:val="003A554A"/>
    <w:rsid w:val="003B09AD"/>
    <w:rsid w:val="003B1F18"/>
    <w:rsid w:val="003B2405"/>
    <w:rsid w:val="003B55D0"/>
    <w:rsid w:val="003B5BF0"/>
    <w:rsid w:val="003B60BF"/>
    <w:rsid w:val="003B615C"/>
    <w:rsid w:val="003B6BE3"/>
    <w:rsid w:val="003C010C"/>
    <w:rsid w:val="003C0A6C"/>
    <w:rsid w:val="003C14F8"/>
    <w:rsid w:val="003C4B20"/>
    <w:rsid w:val="003C5298"/>
    <w:rsid w:val="003C5A43"/>
    <w:rsid w:val="003D0519"/>
    <w:rsid w:val="003D0FF6"/>
    <w:rsid w:val="003D262C"/>
    <w:rsid w:val="003D6D61"/>
    <w:rsid w:val="003E019F"/>
    <w:rsid w:val="003E091D"/>
    <w:rsid w:val="003E1C53"/>
    <w:rsid w:val="003E2A69"/>
    <w:rsid w:val="003E2D49"/>
    <w:rsid w:val="003E2FD4"/>
    <w:rsid w:val="003E3866"/>
    <w:rsid w:val="003E49F6"/>
    <w:rsid w:val="003E4A52"/>
    <w:rsid w:val="003E660F"/>
    <w:rsid w:val="003F0841"/>
    <w:rsid w:val="003F0938"/>
    <w:rsid w:val="003F23D3"/>
    <w:rsid w:val="003F3A89"/>
    <w:rsid w:val="003F3F08"/>
    <w:rsid w:val="003F49F1"/>
    <w:rsid w:val="003F6272"/>
    <w:rsid w:val="00400E72"/>
    <w:rsid w:val="00401400"/>
    <w:rsid w:val="00404869"/>
    <w:rsid w:val="00405884"/>
    <w:rsid w:val="004068BC"/>
    <w:rsid w:val="00407D39"/>
    <w:rsid w:val="0041477A"/>
    <w:rsid w:val="004167A3"/>
    <w:rsid w:val="00425CB9"/>
    <w:rsid w:val="00432DAA"/>
    <w:rsid w:val="00434305"/>
    <w:rsid w:val="00435DF7"/>
    <w:rsid w:val="0044083F"/>
    <w:rsid w:val="00441AE7"/>
    <w:rsid w:val="00443112"/>
    <w:rsid w:val="00445574"/>
    <w:rsid w:val="004467FB"/>
    <w:rsid w:val="00452D6B"/>
    <w:rsid w:val="00454484"/>
    <w:rsid w:val="00454561"/>
    <w:rsid w:val="0045517B"/>
    <w:rsid w:val="00463B77"/>
    <w:rsid w:val="00463C7B"/>
    <w:rsid w:val="004644A6"/>
    <w:rsid w:val="004659BD"/>
    <w:rsid w:val="00470039"/>
    <w:rsid w:val="00470775"/>
    <w:rsid w:val="004746B1"/>
    <w:rsid w:val="0047583F"/>
    <w:rsid w:val="00475DE8"/>
    <w:rsid w:val="0048033F"/>
    <w:rsid w:val="00481338"/>
    <w:rsid w:val="00481C44"/>
    <w:rsid w:val="00484936"/>
    <w:rsid w:val="00485C89"/>
    <w:rsid w:val="00486BE3"/>
    <w:rsid w:val="004905E4"/>
    <w:rsid w:val="00490A89"/>
    <w:rsid w:val="00490AB4"/>
    <w:rsid w:val="0049136B"/>
    <w:rsid w:val="00492F02"/>
    <w:rsid w:val="004939AE"/>
    <w:rsid w:val="004A12DF"/>
    <w:rsid w:val="004A1BA8"/>
    <w:rsid w:val="004A1C93"/>
    <w:rsid w:val="004A4B57"/>
    <w:rsid w:val="004A63FA"/>
    <w:rsid w:val="004A6A3D"/>
    <w:rsid w:val="004B0272"/>
    <w:rsid w:val="004B2701"/>
    <w:rsid w:val="004B2E1B"/>
    <w:rsid w:val="004B3AA8"/>
    <w:rsid w:val="004B3E93"/>
    <w:rsid w:val="004C1FBC"/>
    <w:rsid w:val="004C25A2"/>
    <w:rsid w:val="004C3F1D"/>
    <w:rsid w:val="004C458D"/>
    <w:rsid w:val="004C7442"/>
    <w:rsid w:val="004C7556"/>
    <w:rsid w:val="004C7D42"/>
    <w:rsid w:val="004C7E8B"/>
    <w:rsid w:val="004C7E9D"/>
    <w:rsid w:val="004C7F67"/>
    <w:rsid w:val="004D076D"/>
    <w:rsid w:val="004D0EF1"/>
    <w:rsid w:val="004D2253"/>
    <w:rsid w:val="004D4406"/>
    <w:rsid w:val="004D7C42"/>
    <w:rsid w:val="004E0465"/>
    <w:rsid w:val="004E127B"/>
    <w:rsid w:val="004E1C0A"/>
    <w:rsid w:val="004E30C5"/>
    <w:rsid w:val="004E4AA5"/>
    <w:rsid w:val="004E4AEE"/>
    <w:rsid w:val="004E59E3"/>
    <w:rsid w:val="004E67C0"/>
    <w:rsid w:val="004E7D30"/>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5B5F"/>
    <w:rsid w:val="00516088"/>
    <w:rsid w:val="00516B0B"/>
    <w:rsid w:val="005220EC"/>
    <w:rsid w:val="00523F95"/>
    <w:rsid w:val="00524D65"/>
    <w:rsid w:val="00525B16"/>
    <w:rsid w:val="00525D79"/>
    <w:rsid w:val="00533D04"/>
    <w:rsid w:val="00534804"/>
    <w:rsid w:val="00534BDF"/>
    <w:rsid w:val="005354EA"/>
    <w:rsid w:val="0053585F"/>
    <w:rsid w:val="00535EC4"/>
    <w:rsid w:val="00535ED9"/>
    <w:rsid w:val="0053692B"/>
    <w:rsid w:val="00541853"/>
    <w:rsid w:val="00543927"/>
    <w:rsid w:val="00543BDA"/>
    <w:rsid w:val="005441CC"/>
    <w:rsid w:val="005479DA"/>
    <w:rsid w:val="00547BCC"/>
    <w:rsid w:val="0055013B"/>
    <w:rsid w:val="00551F6F"/>
    <w:rsid w:val="00555044"/>
    <w:rsid w:val="00555D51"/>
    <w:rsid w:val="00561475"/>
    <w:rsid w:val="00562308"/>
    <w:rsid w:val="0056487B"/>
    <w:rsid w:val="00564FB9"/>
    <w:rsid w:val="00566A5D"/>
    <w:rsid w:val="00566AF0"/>
    <w:rsid w:val="00573422"/>
    <w:rsid w:val="00573D9E"/>
    <w:rsid w:val="005801E3"/>
    <w:rsid w:val="00580AC6"/>
    <w:rsid w:val="00581802"/>
    <w:rsid w:val="005836A8"/>
    <w:rsid w:val="0058409C"/>
    <w:rsid w:val="00584262"/>
    <w:rsid w:val="00585412"/>
    <w:rsid w:val="00586630"/>
    <w:rsid w:val="00587ADD"/>
    <w:rsid w:val="005913CC"/>
    <w:rsid w:val="00593A49"/>
    <w:rsid w:val="00596160"/>
    <w:rsid w:val="005966E2"/>
    <w:rsid w:val="00597007"/>
    <w:rsid w:val="005A0966"/>
    <w:rsid w:val="005A11B7"/>
    <w:rsid w:val="005A260B"/>
    <w:rsid w:val="005A4A1B"/>
    <w:rsid w:val="005A7830"/>
    <w:rsid w:val="005A7FCE"/>
    <w:rsid w:val="005B0F3F"/>
    <w:rsid w:val="005B191C"/>
    <w:rsid w:val="005B4903"/>
    <w:rsid w:val="005B51CE"/>
    <w:rsid w:val="005B5885"/>
    <w:rsid w:val="005B5CD7"/>
    <w:rsid w:val="005B6CF6"/>
    <w:rsid w:val="005B7422"/>
    <w:rsid w:val="005C29B8"/>
    <w:rsid w:val="005C5F21"/>
    <w:rsid w:val="005C6395"/>
    <w:rsid w:val="005C7156"/>
    <w:rsid w:val="005D0C75"/>
    <w:rsid w:val="005D22E5"/>
    <w:rsid w:val="005D4171"/>
    <w:rsid w:val="005D6A95"/>
    <w:rsid w:val="005D6B2C"/>
    <w:rsid w:val="005D6D9C"/>
    <w:rsid w:val="005E2335"/>
    <w:rsid w:val="005E34CA"/>
    <w:rsid w:val="005E3C18"/>
    <w:rsid w:val="005E4250"/>
    <w:rsid w:val="005E6812"/>
    <w:rsid w:val="005E7881"/>
    <w:rsid w:val="005E78E0"/>
    <w:rsid w:val="005F0D9C"/>
    <w:rsid w:val="005F131E"/>
    <w:rsid w:val="005F284E"/>
    <w:rsid w:val="005F6595"/>
    <w:rsid w:val="006015CE"/>
    <w:rsid w:val="00601A04"/>
    <w:rsid w:val="00604784"/>
    <w:rsid w:val="00606419"/>
    <w:rsid w:val="00607D29"/>
    <w:rsid w:val="0061211C"/>
    <w:rsid w:val="00612952"/>
    <w:rsid w:val="00614CC1"/>
    <w:rsid w:val="00615A9D"/>
    <w:rsid w:val="00617387"/>
    <w:rsid w:val="006205D6"/>
    <w:rsid w:val="006252D8"/>
    <w:rsid w:val="006259BC"/>
    <w:rsid w:val="0062636B"/>
    <w:rsid w:val="00626642"/>
    <w:rsid w:val="00632182"/>
    <w:rsid w:val="00632AE0"/>
    <w:rsid w:val="00632F54"/>
    <w:rsid w:val="00633C17"/>
    <w:rsid w:val="00634D9E"/>
    <w:rsid w:val="00636E3E"/>
    <w:rsid w:val="006379F7"/>
    <w:rsid w:val="00637E4D"/>
    <w:rsid w:val="00640620"/>
    <w:rsid w:val="00641A1F"/>
    <w:rsid w:val="00645904"/>
    <w:rsid w:val="00647B68"/>
    <w:rsid w:val="00651ACB"/>
    <w:rsid w:val="00651C47"/>
    <w:rsid w:val="00652AB2"/>
    <w:rsid w:val="00653FED"/>
    <w:rsid w:val="006544D2"/>
    <w:rsid w:val="00654EC0"/>
    <w:rsid w:val="0065508C"/>
    <w:rsid w:val="0065525B"/>
    <w:rsid w:val="00655D4F"/>
    <w:rsid w:val="00656D29"/>
    <w:rsid w:val="00660161"/>
    <w:rsid w:val="006640E5"/>
    <w:rsid w:val="006646F1"/>
    <w:rsid w:val="00664929"/>
    <w:rsid w:val="00664F62"/>
    <w:rsid w:val="006655E1"/>
    <w:rsid w:val="0066710D"/>
    <w:rsid w:val="00672060"/>
    <w:rsid w:val="00672BFD"/>
    <w:rsid w:val="006770F4"/>
    <w:rsid w:val="00677A84"/>
    <w:rsid w:val="0068026D"/>
    <w:rsid w:val="00680A27"/>
    <w:rsid w:val="006816A4"/>
    <w:rsid w:val="006819B8"/>
    <w:rsid w:val="006840A6"/>
    <w:rsid w:val="006850CD"/>
    <w:rsid w:val="00685AAB"/>
    <w:rsid w:val="006A07AA"/>
    <w:rsid w:val="006A25E5"/>
    <w:rsid w:val="006A2B46"/>
    <w:rsid w:val="006A336D"/>
    <w:rsid w:val="006A37B9"/>
    <w:rsid w:val="006A713E"/>
    <w:rsid w:val="006A7D39"/>
    <w:rsid w:val="006B2672"/>
    <w:rsid w:val="006B3041"/>
    <w:rsid w:val="006B54BF"/>
    <w:rsid w:val="006B5AA9"/>
    <w:rsid w:val="006B5F44"/>
    <w:rsid w:val="006B5F90"/>
    <w:rsid w:val="006B62E4"/>
    <w:rsid w:val="006C1BBA"/>
    <w:rsid w:val="006C2079"/>
    <w:rsid w:val="006C49D4"/>
    <w:rsid w:val="006C5A62"/>
    <w:rsid w:val="006C5D68"/>
    <w:rsid w:val="006C6976"/>
    <w:rsid w:val="006C6DD0"/>
    <w:rsid w:val="006D04EA"/>
    <w:rsid w:val="006D1421"/>
    <w:rsid w:val="006D16C4"/>
    <w:rsid w:val="006D3E96"/>
    <w:rsid w:val="006D4515"/>
    <w:rsid w:val="006D4BB1"/>
    <w:rsid w:val="006D6593"/>
    <w:rsid w:val="006D6A4E"/>
    <w:rsid w:val="006D747B"/>
    <w:rsid w:val="006D74AB"/>
    <w:rsid w:val="006E264E"/>
    <w:rsid w:val="006E4AB0"/>
    <w:rsid w:val="006F03A8"/>
    <w:rsid w:val="006F2ACA"/>
    <w:rsid w:val="006F2ADC"/>
    <w:rsid w:val="006F2BFE"/>
    <w:rsid w:val="006F31E9"/>
    <w:rsid w:val="006F6284"/>
    <w:rsid w:val="0070022D"/>
    <w:rsid w:val="007002C5"/>
    <w:rsid w:val="00703910"/>
    <w:rsid w:val="00704387"/>
    <w:rsid w:val="00707669"/>
    <w:rsid w:val="00711CBA"/>
    <w:rsid w:val="00711FB5"/>
    <w:rsid w:val="00712A01"/>
    <w:rsid w:val="00714F58"/>
    <w:rsid w:val="007176C0"/>
    <w:rsid w:val="007219F2"/>
    <w:rsid w:val="00722FBF"/>
    <w:rsid w:val="00722FC2"/>
    <w:rsid w:val="00724E1B"/>
    <w:rsid w:val="00725949"/>
    <w:rsid w:val="00727FA2"/>
    <w:rsid w:val="007322D9"/>
    <w:rsid w:val="00732BC0"/>
    <w:rsid w:val="0073720F"/>
    <w:rsid w:val="00737325"/>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599"/>
    <w:rsid w:val="00780A91"/>
    <w:rsid w:val="0078114B"/>
    <w:rsid w:val="00781DD2"/>
    <w:rsid w:val="00783ECF"/>
    <w:rsid w:val="0078413A"/>
    <w:rsid w:val="00793AF7"/>
    <w:rsid w:val="00794D78"/>
    <w:rsid w:val="007959E8"/>
    <w:rsid w:val="00795E9C"/>
    <w:rsid w:val="007A0521"/>
    <w:rsid w:val="007A2E12"/>
    <w:rsid w:val="007A3475"/>
    <w:rsid w:val="007A41C8"/>
    <w:rsid w:val="007A4725"/>
    <w:rsid w:val="007A54CE"/>
    <w:rsid w:val="007A5D3A"/>
    <w:rsid w:val="007A6FD9"/>
    <w:rsid w:val="007A7FFA"/>
    <w:rsid w:val="007B04EB"/>
    <w:rsid w:val="007B0D4F"/>
    <w:rsid w:val="007B5A3D"/>
    <w:rsid w:val="007B5B95"/>
    <w:rsid w:val="007B6032"/>
    <w:rsid w:val="007B68EA"/>
    <w:rsid w:val="007B7453"/>
    <w:rsid w:val="007C2D89"/>
    <w:rsid w:val="007C4593"/>
    <w:rsid w:val="007C4EC7"/>
    <w:rsid w:val="007C5309"/>
    <w:rsid w:val="007C6069"/>
    <w:rsid w:val="007D06C4"/>
    <w:rsid w:val="007D1352"/>
    <w:rsid w:val="007D2508"/>
    <w:rsid w:val="007D346A"/>
    <w:rsid w:val="007D6518"/>
    <w:rsid w:val="007D76BD"/>
    <w:rsid w:val="007E0BF1"/>
    <w:rsid w:val="007F0ED8"/>
    <w:rsid w:val="007F0F63"/>
    <w:rsid w:val="007F2265"/>
    <w:rsid w:val="007F75CE"/>
    <w:rsid w:val="008013A4"/>
    <w:rsid w:val="008027CE"/>
    <w:rsid w:val="00802F42"/>
    <w:rsid w:val="00804383"/>
    <w:rsid w:val="00804BB7"/>
    <w:rsid w:val="00804D41"/>
    <w:rsid w:val="00810257"/>
    <w:rsid w:val="008104F5"/>
    <w:rsid w:val="00811072"/>
    <w:rsid w:val="00811369"/>
    <w:rsid w:val="008126AD"/>
    <w:rsid w:val="00812914"/>
    <w:rsid w:val="00812D35"/>
    <w:rsid w:val="00815419"/>
    <w:rsid w:val="008163C8"/>
    <w:rsid w:val="008164A1"/>
    <w:rsid w:val="00817325"/>
    <w:rsid w:val="008209E6"/>
    <w:rsid w:val="00821D19"/>
    <w:rsid w:val="00823303"/>
    <w:rsid w:val="008233B2"/>
    <w:rsid w:val="00823A9F"/>
    <w:rsid w:val="00823C85"/>
    <w:rsid w:val="0082489F"/>
    <w:rsid w:val="00825138"/>
    <w:rsid w:val="008269DD"/>
    <w:rsid w:val="00830621"/>
    <w:rsid w:val="00830F1F"/>
    <w:rsid w:val="008326C2"/>
    <w:rsid w:val="0083348C"/>
    <w:rsid w:val="008373D3"/>
    <w:rsid w:val="00840617"/>
    <w:rsid w:val="00840F84"/>
    <w:rsid w:val="00842A47"/>
    <w:rsid w:val="00843A8D"/>
    <w:rsid w:val="00843C13"/>
    <w:rsid w:val="00843DEF"/>
    <w:rsid w:val="008454F8"/>
    <w:rsid w:val="0085038B"/>
    <w:rsid w:val="0085173A"/>
    <w:rsid w:val="00855FEB"/>
    <w:rsid w:val="008603CE"/>
    <w:rsid w:val="008620FC"/>
    <w:rsid w:val="008627A5"/>
    <w:rsid w:val="00863E05"/>
    <w:rsid w:val="00865ACA"/>
    <w:rsid w:val="00865D28"/>
    <w:rsid w:val="00865F85"/>
    <w:rsid w:val="00867C10"/>
    <w:rsid w:val="00870439"/>
    <w:rsid w:val="00870DA1"/>
    <w:rsid w:val="008833D9"/>
    <w:rsid w:val="00883CD7"/>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73B"/>
    <w:rsid w:val="008A1893"/>
    <w:rsid w:val="008A5679"/>
    <w:rsid w:val="008A57E6"/>
    <w:rsid w:val="008A6F81"/>
    <w:rsid w:val="008A769A"/>
    <w:rsid w:val="008B0C9C"/>
    <w:rsid w:val="008B166D"/>
    <w:rsid w:val="008B17F4"/>
    <w:rsid w:val="008B3615"/>
    <w:rsid w:val="008B4AC4"/>
    <w:rsid w:val="008B50C8"/>
    <w:rsid w:val="008B5281"/>
    <w:rsid w:val="008B7E05"/>
    <w:rsid w:val="008C01B8"/>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5D64"/>
    <w:rsid w:val="008E6A84"/>
    <w:rsid w:val="008F0CDC"/>
    <w:rsid w:val="008F17A3"/>
    <w:rsid w:val="008F1ED3"/>
    <w:rsid w:val="008F3835"/>
    <w:rsid w:val="008F4C29"/>
    <w:rsid w:val="008F70BD"/>
    <w:rsid w:val="008F788F"/>
    <w:rsid w:val="008F7EA2"/>
    <w:rsid w:val="00902722"/>
    <w:rsid w:val="009027BC"/>
    <w:rsid w:val="00905CEB"/>
    <w:rsid w:val="009062E6"/>
    <w:rsid w:val="00911BE5"/>
    <w:rsid w:val="00913037"/>
    <w:rsid w:val="00913CA9"/>
    <w:rsid w:val="009145AE"/>
    <w:rsid w:val="009146CE"/>
    <w:rsid w:val="00914CA7"/>
    <w:rsid w:val="00915C3E"/>
    <w:rsid w:val="009161A8"/>
    <w:rsid w:val="00923E37"/>
    <w:rsid w:val="009245AE"/>
    <w:rsid w:val="009245F5"/>
    <w:rsid w:val="009249EC"/>
    <w:rsid w:val="009273B3"/>
    <w:rsid w:val="009305B5"/>
    <w:rsid w:val="00933A3A"/>
    <w:rsid w:val="009378DD"/>
    <w:rsid w:val="009429D5"/>
    <w:rsid w:val="00942BF1"/>
    <w:rsid w:val="00945180"/>
    <w:rsid w:val="00945428"/>
    <w:rsid w:val="0094607B"/>
    <w:rsid w:val="00946641"/>
    <w:rsid w:val="00953604"/>
    <w:rsid w:val="0095496B"/>
    <w:rsid w:val="009565D6"/>
    <w:rsid w:val="00960F1E"/>
    <w:rsid w:val="009610DC"/>
    <w:rsid w:val="00961490"/>
    <w:rsid w:val="0096381A"/>
    <w:rsid w:val="00965E04"/>
    <w:rsid w:val="009674AD"/>
    <w:rsid w:val="00967B23"/>
    <w:rsid w:val="00970CDC"/>
    <w:rsid w:val="00975727"/>
    <w:rsid w:val="00977010"/>
    <w:rsid w:val="00977D02"/>
    <w:rsid w:val="00977FF9"/>
    <w:rsid w:val="009809BB"/>
    <w:rsid w:val="0098364B"/>
    <w:rsid w:val="009908A3"/>
    <w:rsid w:val="009911AF"/>
    <w:rsid w:val="00991875"/>
    <w:rsid w:val="00991F92"/>
    <w:rsid w:val="00992985"/>
    <w:rsid w:val="00993889"/>
    <w:rsid w:val="0099551B"/>
    <w:rsid w:val="00996BD2"/>
    <w:rsid w:val="00997BF1"/>
    <w:rsid w:val="009A089C"/>
    <w:rsid w:val="009A118E"/>
    <w:rsid w:val="009A21CD"/>
    <w:rsid w:val="009A278C"/>
    <w:rsid w:val="009A2BC2"/>
    <w:rsid w:val="009A42C1"/>
    <w:rsid w:val="009A5429"/>
    <w:rsid w:val="009A6052"/>
    <w:rsid w:val="009A72AD"/>
    <w:rsid w:val="009B09E0"/>
    <w:rsid w:val="009B0BC5"/>
    <w:rsid w:val="009B1247"/>
    <w:rsid w:val="009B6029"/>
    <w:rsid w:val="009B6971"/>
    <w:rsid w:val="009C27F1"/>
    <w:rsid w:val="009C3152"/>
    <w:rsid w:val="009C3257"/>
    <w:rsid w:val="009C4CFA"/>
    <w:rsid w:val="009C5070"/>
    <w:rsid w:val="009C6A14"/>
    <w:rsid w:val="009C79BA"/>
    <w:rsid w:val="009D02DA"/>
    <w:rsid w:val="009D0368"/>
    <w:rsid w:val="009D112C"/>
    <w:rsid w:val="009D1385"/>
    <w:rsid w:val="009D47FA"/>
    <w:rsid w:val="009D4C5B"/>
    <w:rsid w:val="009D50D2"/>
    <w:rsid w:val="009D6BB1"/>
    <w:rsid w:val="009D6BCA"/>
    <w:rsid w:val="009E0F62"/>
    <w:rsid w:val="009E4A58"/>
    <w:rsid w:val="009E5A2D"/>
    <w:rsid w:val="009E5AB2"/>
    <w:rsid w:val="009E6219"/>
    <w:rsid w:val="009F03B3"/>
    <w:rsid w:val="009F68B5"/>
    <w:rsid w:val="009F6CF5"/>
    <w:rsid w:val="009F6E22"/>
    <w:rsid w:val="009F6FD0"/>
    <w:rsid w:val="00A0096C"/>
    <w:rsid w:val="00A01757"/>
    <w:rsid w:val="00A02549"/>
    <w:rsid w:val="00A028C0"/>
    <w:rsid w:val="00A02BAE"/>
    <w:rsid w:val="00A04316"/>
    <w:rsid w:val="00A06A6B"/>
    <w:rsid w:val="00A07E47"/>
    <w:rsid w:val="00A11DE0"/>
    <w:rsid w:val="00A129D0"/>
    <w:rsid w:val="00A12C33"/>
    <w:rsid w:val="00A138BA"/>
    <w:rsid w:val="00A14C8E"/>
    <w:rsid w:val="00A153D9"/>
    <w:rsid w:val="00A15F09"/>
    <w:rsid w:val="00A169B6"/>
    <w:rsid w:val="00A17DE3"/>
    <w:rsid w:val="00A2271D"/>
    <w:rsid w:val="00A237D5"/>
    <w:rsid w:val="00A30EFC"/>
    <w:rsid w:val="00A31984"/>
    <w:rsid w:val="00A328CC"/>
    <w:rsid w:val="00A32D73"/>
    <w:rsid w:val="00A33460"/>
    <w:rsid w:val="00A3367B"/>
    <w:rsid w:val="00A33C67"/>
    <w:rsid w:val="00A34B94"/>
    <w:rsid w:val="00A3597D"/>
    <w:rsid w:val="00A36DD1"/>
    <w:rsid w:val="00A3723E"/>
    <w:rsid w:val="00A4006C"/>
    <w:rsid w:val="00A40091"/>
    <w:rsid w:val="00A4030F"/>
    <w:rsid w:val="00A41C79"/>
    <w:rsid w:val="00A41CB5"/>
    <w:rsid w:val="00A42BAE"/>
    <w:rsid w:val="00A42CDF"/>
    <w:rsid w:val="00A4452E"/>
    <w:rsid w:val="00A4472C"/>
    <w:rsid w:val="00A44E69"/>
    <w:rsid w:val="00A4661E"/>
    <w:rsid w:val="00A54025"/>
    <w:rsid w:val="00A55B64"/>
    <w:rsid w:val="00A55BD6"/>
    <w:rsid w:val="00A55D50"/>
    <w:rsid w:val="00A57142"/>
    <w:rsid w:val="00A60544"/>
    <w:rsid w:val="00A61EF0"/>
    <w:rsid w:val="00A64691"/>
    <w:rsid w:val="00A648CD"/>
    <w:rsid w:val="00A6537A"/>
    <w:rsid w:val="00A67866"/>
    <w:rsid w:val="00A70B07"/>
    <w:rsid w:val="00A723F8"/>
    <w:rsid w:val="00A727E3"/>
    <w:rsid w:val="00A753DD"/>
    <w:rsid w:val="00A77CCB"/>
    <w:rsid w:val="00A81437"/>
    <w:rsid w:val="00A83D8D"/>
    <w:rsid w:val="00A8446B"/>
    <w:rsid w:val="00A8473F"/>
    <w:rsid w:val="00A862D6"/>
    <w:rsid w:val="00A8715E"/>
    <w:rsid w:val="00A9295B"/>
    <w:rsid w:val="00A93B09"/>
    <w:rsid w:val="00A952D7"/>
    <w:rsid w:val="00A963F7"/>
    <w:rsid w:val="00A96AD8"/>
    <w:rsid w:val="00AA052C"/>
    <w:rsid w:val="00AA1E45"/>
    <w:rsid w:val="00AA4286"/>
    <w:rsid w:val="00AA456B"/>
    <w:rsid w:val="00AA57F5"/>
    <w:rsid w:val="00AA672E"/>
    <w:rsid w:val="00AA6EC9"/>
    <w:rsid w:val="00AA7DC0"/>
    <w:rsid w:val="00AB6309"/>
    <w:rsid w:val="00AB6C5F"/>
    <w:rsid w:val="00AB7129"/>
    <w:rsid w:val="00AC0950"/>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2A69"/>
    <w:rsid w:val="00AE37E5"/>
    <w:rsid w:val="00AE5EB4"/>
    <w:rsid w:val="00AF0C18"/>
    <w:rsid w:val="00AF47C5"/>
    <w:rsid w:val="00AF5398"/>
    <w:rsid w:val="00B049AF"/>
    <w:rsid w:val="00B07242"/>
    <w:rsid w:val="00B10534"/>
    <w:rsid w:val="00B113DB"/>
    <w:rsid w:val="00B11432"/>
    <w:rsid w:val="00B11D8A"/>
    <w:rsid w:val="00B12981"/>
    <w:rsid w:val="00B147DD"/>
    <w:rsid w:val="00B156FD"/>
    <w:rsid w:val="00B216F8"/>
    <w:rsid w:val="00B21F61"/>
    <w:rsid w:val="00B243BA"/>
    <w:rsid w:val="00B261F1"/>
    <w:rsid w:val="00B265BC"/>
    <w:rsid w:val="00B31FB1"/>
    <w:rsid w:val="00B33952"/>
    <w:rsid w:val="00B33C5E"/>
    <w:rsid w:val="00B342F4"/>
    <w:rsid w:val="00B34369"/>
    <w:rsid w:val="00B349BF"/>
    <w:rsid w:val="00B34DC2"/>
    <w:rsid w:val="00B378E5"/>
    <w:rsid w:val="00B4346D"/>
    <w:rsid w:val="00B440F4"/>
    <w:rsid w:val="00B447A5"/>
    <w:rsid w:val="00B4654C"/>
    <w:rsid w:val="00B47293"/>
    <w:rsid w:val="00B50E50"/>
    <w:rsid w:val="00B52120"/>
    <w:rsid w:val="00B528EB"/>
    <w:rsid w:val="00B548DB"/>
    <w:rsid w:val="00B54ABC"/>
    <w:rsid w:val="00B56FBE"/>
    <w:rsid w:val="00B60ACF"/>
    <w:rsid w:val="00B62218"/>
    <w:rsid w:val="00B62B58"/>
    <w:rsid w:val="00B65149"/>
    <w:rsid w:val="00B66567"/>
    <w:rsid w:val="00B66F52"/>
    <w:rsid w:val="00B66FE5"/>
    <w:rsid w:val="00B72880"/>
    <w:rsid w:val="00B758BF"/>
    <w:rsid w:val="00B75CD6"/>
    <w:rsid w:val="00B77EC8"/>
    <w:rsid w:val="00B827A6"/>
    <w:rsid w:val="00B831CE"/>
    <w:rsid w:val="00B86677"/>
    <w:rsid w:val="00B87131"/>
    <w:rsid w:val="00B90F2E"/>
    <w:rsid w:val="00B939B1"/>
    <w:rsid w:val="00B96D40"/>
    <w:rsid w:val="00B97386"/>
    <w:rsid w:val="00BA263B"/>
    <w:rsid w:val="00BA42B2"/>
    <w:rsid w:val="00BA58D4"/>
    <w:rsid w:val="00BA5B9E"/>
    <w:rsid w:val="00BA7C9A"/>
    <w:rsid w:val="00BB5F8F"/>
    <w:rsid w:val="00BB657A"/>
    <w:rsid w:val="00BC1A4E"/>
    <w:rsid w:val="00BC2577"/>
    <w:rsid w:val="00BC48B3"/>
    <w:rsid w:val="00BC5685"/>
    <w:rsid w:val="00BC5DC7"/>
    <w:rsid w:val="00BC6B8B"/>
    <w:rsid w:val="00BC73D8"/>
    <w:rsid w:val="00BD085F"/>
    <w:rsid w:val="00BD14C1"/>
    <w:rsid w:val="00BD3B99"/>
    <w:rsid w:val="00BD52D7"/>
    <w:rsid w:val="00BD5AD2"/>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21540"/>
    <w:rsid w:val="00C21906"/>
    <w:rsid w:val="00C21BFA"/>
    <w:rsid w:val="00C2207D"/>
    <w:rsid w:val="00C24C8D"/>
    <w:rsid w:val="00C25FE2"/>
    <w:rsid w:val="00C26B53"/>
    <w:rsid w:val="00C275BC"/>
    <w:rsid w:val="00C279B2"/>
    <w:rsid w:val="00C330CF"/>
    <w:rsid w:val="00C33E50"/>
    <w:rsid w:val="00C34C20"/>
    <w:rsid w:val="00C35A3E"/>
    <w:rsid w:val="00C42130"/>
    <w:rsid w:val="00C423A4"/>
    <w:rsid w:val="00C423E3"/>
    <w:rsid w:val="00C44BF5"/>
    <w:rsid w:val="00C521D6"/>
    <w:rsid w:val="00C55232"/>
    <w:rsid w:val="00C553A4"/>
    <w:rsid w:val="00C55A06"/>
    <w:rsid w:val="00C55D03"/>
    <w:rsid w:val="00C601BC"/>
    <w:rsid w:val="00C6329F"/>
    <w:rsid w:val="00C63340"/>
    <w:rsid w:val="00C643F9"/>
    <w:rsid w:val="00C64E95"/>
    <w:rsid w:val="00C66542"/>
    <w:rsid w:val="00C71372"/>
    <w:rsid w:val="00C72410"/>
    <w:rsid w:val="00C7287F"/>
    <w:rsid w:val="00C72971"/>
    <w:rsid w:val="00C80BF4"/>
    <w:rsid w:val="00C80CB8"/>
    <w:rsid w:val="00C819F8"/>
    <w:rsid w:val="00C8248C"/>
    <w:rsid w:val="00C84E33"/>
    <w:rsid w:val="00C86D6F"/>
    <w:rsid w:val="00C877F0"/>
    <w:rsid w:val="00C905FC"/>
    <w:rsid w:val="00C91024"/>
    <w:rsid w:val="00C92D03"/>
    <w:rsid w:val="00C9319C"/>
    <w:rsid w:val="00C9435D"/>
    <w:rsid w:val="00C94DF2"/>
    <w:rsid w:val="00C96741"/>
    <w:rsid w:val="00CA004E"/>
    <w:rsid w:val="00CA0D83"/>
    <w:rsid w:val="00CA2D1B"/>
    <w:rsid w:val="00CA375D"/>
    <w:rsid w:val="00CA662A"/>
    <w:rsid w:val="00CA7AFD"/>
    <w:rsid w:val="00CA7C3C"/>
    <w:rsid w:val="00CB0189"/>
    <w:rsid w:val="00CB0BA2"/>
    <w:rsid w:val="00CB15FA"/>
    <w:rsid w:val="00CB1A42"/>
    <w:rsid w:val="00CB1B0C"/>
    <w:rsid w:val="00CB2C0B"/>
    <w:rsid w:val="00CB3244"/>
    <w:rsid w:val="00CB517D"/>
    <w:rsid w:val="00CB5958"/>
    <w:rsid w:val="00CB691C"/>
    <w:rsid w:val="00CC038D"/>
    <w:rsid w:val="00CC08DB"/>
    <w:rsid w:val="00CC39FF"/>
    <w:rsid w:val="00CC3C2F"/>
    <w:rsid w:val="00CC4AC8"/>
    <w:rsid w:val="00CC5233"/>
    <w:rsid w:val="00CC5740"/>
    <w:rsid w:val="00CC5DE6"/>
    <w:rsid w:val="00CC6E4E"/>
    <w:rsid w:val="00CC6FE8"/>
    <w:rsid w:val="00CC7202"/>
    <w:rsid w:val="00CD2467"/>
    <w:rsid w:val="00CD2808"/>
    <w:rsid w:val="00CD28BF"/>
    <w:rsid w:val="00CD4092"/>
    <w:rsid w:val="00CD4A20"/>
    <w:rsid w:val="00CD50A1"/>
    <w:rsid w:val="00CD519E"/>
    <w:rsid w:val="00CE0C4F"/>
    <w:rsid w:val="00CE30EA"/>
    <w:rsid w:val="00CE4FF6"/>
    <w:rsid w:val="00CE7DF9"/>
    <w:rsid w:val="00CF048A"/>
    <w:rsid w:val="00CF155A"/>
    <w:rsid w:val="00CF225E"/>
    <w:rsid w:val="00CF2947"/>
    <w:rsid w:val="00CF686F"/>
    <w:rsid w:val="00CF6E60"/>
    <w:rsid w:val="00CF7BCA"/>
    <w:rsid w:val="00D008FD"/>
    <w:rsid w:val="00D0321C"/>
    <w:rsid w:val="00D035EC"/>
    <w:rsid w:val="00D05EDC"/>
    <w:rsid w:val="00D06AB1"/>
    <w:rsid w:val="00D06FC1"/>
    <w:rsid w:val="00D072ED"/>
    <w:rsid w:val="00D07A16"/>
    <w:rsid w:val="00D1067E"/>
    <w:rsid w:val="00D10F50"/>
    <w:rsid w:val="00D11272"/>
    <w:rsid w:val="00D126F5"/>
    <w:rsid w:val="00D1489E"/>
    <w:rsid w:val="00D20737"/>
    <w:rsid w:val="00D212BD"/>
    <w:rsid w:val="00D21E81"/>
    <w:rsid w:val="00D223DE"/>
    <w:rsid w:val="00D25E37"/>
    <w:rsid w:val="00D2661A"/>
    <w:rsid w:val="00D27582"/>
    <w:rsid w:val="00D27EC4"/>
    <w:rsid w:val="00D32719"/>
    <w:rsid w:val="00D33333"/>
    <w:rsid w:val="00D352A2"/>
    <w:rsid w:val="00D4162B"/>
    <w:rsid w:val="00D44CF3"/>
    <w:rsid w:val="00D4514F"/>
    <w:rsid w:val="00D451E2"/>
    <w:rsid w:val="00D45E89"/>
    <w:rsid w:val="00D45E8D"/>
    <w:rsid w:val="00D466AE"/>
    <w:rsid w:val="00D4734F"/>
    <w:rsid w:val="00D47A9F"/>
    <w:rsid w:val="00D518A6"/>
    <w:rsid w:val="00D518D7"/>
    <w:rsid w:val="00D51BF3"/>
    <w:rsid w:val="00D55793"/>
    <w:rsid w:val="00D62171"/>
    <w:rsid w:val="00D66846"/>
    <w:rsid w:val="00D675FB"/>
    <w:rsid w:val="00D71F25"/>
    <w:rsid w:val="00D72A9C"/>
    <w:rsid w:val="00D77031"/>
    <w:rsid w:val="00D84941"/>
    <w:rsid w:val="00D84FA1"/>
    <w:rsid w:val="00D851F0"/>
    <w:rsid w:val="00D86DB7"/>
    <w:rsid w:val="00D87BF5"/>
    <w:rsid w:val="00D90721"/>
    <w:rsid w:val="00D926D0"/>
    <w:rsid w:val="00D93030"/>
    <w:rsid w:val="00D950E1"/>
    <w:rsid w:val="00D952A6"/>
    <w:rsid w:val="00D97F99"/>
    <w:rsid w:val="00DA1E08"/>
    <w:rsid w:val="00DA24F8"/>
    <w:rsid w:val="00DA28E8"/>
    <w:rsid w:val="00DA38D3"/>
    <w:rsid w:val="00DA3932"/>
    <w:rsid w:val="00DA3AFC"/>
    <w:rsid w:val="00DA64F8"/>
    <w:rsid w:val="00DA6C15"/>
    <w:rsid w:val="00DA6FE7"/>
    <w:rsid w:val="00DA7F04"/>
    <w:rsid w:val="00DB0258"/>
    <w:rsid w:val="00DB38EE"/>
    <w:rsid w:val="00DB4293"/>
    <w:rsid w:val="00DB498B"/>
    <w:rsid w:val="00DB66CA"/>
    <w:rsid w:val="00DB6BCA"/>
    <w:rsid w:val="00DB6F54"/>
    <w:rsid w:val="00DB73F7"/>
    <w:rsid w:val="00DC0321"/>
    <w:rsid w:val="00DC302D"/>
    <w:rsid w:val="00DC3067"/>
    <w:rsid w:val="00DC370B"/>
    <w:rsid w:val="00DC5B90"/>
    <w:rsid w:val="00DD00FF"/>
    <w:rsid w:val="00DD0619"/>
    <w:rsid w:val="00DD07FB"/>
    <w:rsid w:val="00DD25C6"/>
    <w:rsid w:val="00DD4FE5"/>
    <w:rsid w:val="00DD54B0"/>
    <w:rsid w:val="00DD5542"/>
    <w:rsid w:val="00DD57EE"/>
    <w:rsid w:val="00DD6BCC"/>
    <w:rsid w:val="00DE0A4B"/>
    <w:rsid w:val="00DE2410"/>
    <w:rsid w:val="00DE2939"/>
    <w:rsid w:val="00DE6E81"/>
    <w:rsid w:val="00DE703F"/>
    <w:rsid w:val="00DE7595"/>
    <w:rsid w:val="00DE7777"/>
    <w:rsid w:val="00DE7AC0"/>
    <w:rsid w:val="00DF1961"/>
    <w:rsid w:val="00DF44DE"/>
    <w:rsid w:val="00E00D39"/>
    <w:rsid w:val="00E01138"/>
    <w:rsid w:val="00E02DFB"/>
    <w:rsid w:val="00E030F9"/>
    <w:rsid w:val="00E0311A"/>
    <w:rsid w:val="00E03138"/>
    <w:rsid w:val="00E03E71"/>
    <w:rsid w:val="00E06404"/>
    <w:rsid w:val="00E11A85"/>
    <w:rsid w:val="00E1225C"/>
    <w:rsid w:val="00E12495"/>
    <w:rsid w:val="00E15CCD"/>
    <w:rsid w:val="00E202EF"/>
    <w:rsid w:val="00E210B5"/>
    <w:rsid w:val="00E22CCB"/>
    <w:rsid w:val="00E2552F"/>
    <w:rsid w:val="00E3137A"/>
    <w:rsid w:val="00E32CCF"/>
    <w:rsid w:val="00E34A98"/>
    <w:rsid w:val="00E35D1E"/>
    <w:rsid w:val="00E364F9"/>
    <w:rsid w:val="00E365FA"/>
    <w:rsid w:val="00E36789"/>
    <w:rsid w:val="00E43965"/>
    <w:rsid w:val="00E44A83"/>
    <w:rsid w:val="00E502C1"/>
    <w:rsid w:val="00E502DD"/>
    <w:rsid w:val="00E50D3A"/>
    <w:rsid w:val="00E51387"/>
    <w:rsid w:val="00E51E68"/>
    <w:rsid w:val="00E52EFD"/>
    <w:rsid w:val="00E5408A"/>
    <w:rsid w:val="00E56800"/>
    <w:rsid w:val="00E56A29"/>
    <w:rsid w:val="00E60C63"/>
    <w:rsid w:val="00E62FF9"/>
    <w:rsid w:val="00E635D6"/>
    <w:rsid w:val="00E639BC"/>
    <w:rsid w:val="00E664CC"/>
    <w:rsid w:val="00E70388"/>
    <w:rsid w:val="00E70F92"/>
    <w:rsid w:val="00E74313"/>
    <w:rsid w:val="00E74C54"/>
    <w:rsid w:val="00E77A03"/>
    <w:rsid w:val="00E77D43"/>
    <w:rsid w:val="00E822E8"/>
    <w:rsid w:val="00E82554"/>
    <w:rsid w:val="00E82606"/>
    <w:rsid w:val="00E831C1"/>
    <w:rsid w:val="00E846C8"/>
    <w:rsid w:val="00E84957"/>
    <w:rsid w:val="00E84A55"/>
    <w:rsid w:val="00E85BFF"/>
    <w:rsid w:val="00E90391"/>
    <w:rsid w:val="00E906C2"/>
    <w:rsid w:val="00E91C1D"/>
    <w:rsid w:val="00E9311F"/>
    <w:rsid w:val="00E934D1"/>
    <w:rsid w:val="00E94AF0"/>
    <w:rsid w:val="00E95D13"/>
    <w:rsid w:val="00E95DD3"/>
    <w:rsid w:val="00E969D5"/>
    <w:rsid w:val="00EA22BB"/>
    <w:rsid w:val="00EA58D1"/>
    <w:rsid w:val="00EA61BC"/>
    <w:rsid w:val="00EA681A"/>
    <w:rsid w:val="00EA735B"/>
    <w:rsid w:val="00EB1E69"/>
    <w:rsid w:val="00EB2086"/>
    <w:rsid w:val="00EB31ED"/>
    <w:rsid w:val="00EB49E2"/>
    <w:rsid w:val="00EB5EDF"/>
    <w:rsid w:val="00EB60FE"/>
    <w:rsid w:val="00EB74DB"/>
    <w:rsid w:val="00EC5359"/>
    <w:rsid w:val="00EC562A"/>
    <w:rsid w:val="00ED0301"/>
    <w:rsid w:val="00ED067A"/>
    <w:rsid w:val="00ED2B50"/>
    <w:rsid w:val="00EE0350"/>
    <w:rsid w:val="00EE0719"/>
    <w:rsid w:val="00EE0E80"/>
    <w:rsid w:val="00EE613F"/>
    <w:rsid w:val="00EE7295"/>
    <w:rsid w:val="00EE7869"/>
    <w:rsid w:val="00EF054A"/>
    <w:rsid w:val="00EF298D"/>
    <w:rsid w:val="00EF3235"/>
    <w:rsid w:val="00EF6B59"/>
    <w:rsid w:val="00EF7E72"/>
    <w:rsid w:val="00F05BB4"/>
    <w:rsid w:val="00F06D37"/>
    <w:rsid w:val="00F07B9D"/>
    <w:rsid w:val="00F10C80"/>
    <w:rsid w:val="00F11586"/>
    <w:rsid w:val="00F1183B"/>
    <w:rsid w:val="00F11C9F"/>
    <w:rsid w:val="00F12263"/>
    <w:rsid w:val="00F1409D"/>
    <w:rsid w:val="00F14214"/>
    <w:rsid w:val="00F157A9"/>
    <w:rsid w:val="00F16F00"/>
    <w:rsid w:val="00F23621"/>
    <w:rsid w:val="00F25BB6"/>
    <w:rsid w:val="00F26B7E"/>
    <w:rsid w:val="00F27A3B"/>
    <w:rsid w:val="00F32780"/>
    <w:rsid w:val="00F33817"/>
    <w:rsid w:val="00F36C38"/>
    <w:rsid w:val="00F420D5"/>
    <w:rsid w:val="00F451EA"/>
    <w:rsid w:val="00F45447"/>
    <w:rsid w:val="00F456C6"/>
    <w:rsid w:val="00F4577B"/>
    <w:rsid w:val="00F46496"/>
    <w:rsid w:val="00F465A2"/>
    <w:rsid w:val="00F474D0"/>
    <w:rsid w:val="00F50179"/>
    <w:rsid w:val="00F515EE"/>
    <w:rsid w:val="00F56511"/>
    <w:rsid w:val="00F6194E"/>
    <w:rsid w:val="00F623AC"/>
    <w:rsid w:val="00F6412A"/>
    <w:rsid w:val="00F65893"/>
    <w:rsid w:val="00F658CA"/>
    <w:rsid w:val="00F66A4A"/>
    <w:rsid w:val="00F71E22"/>
    <w:rsid w:val="00F72142"/>
    <w:rsid w:val="00F72AE7"/>
    <w:rsid w:val="00F833BA"/>
    <w:rsid w:val="00F84827"/>
    <w:rsid w:val="00F84FD0"/>
    <w:rsid w:val="00F859A8"/>
    <w:rsid w:val="00F86D87"/>
    <w:rsid w:val="00F9108B"/>
    <w:rsid w:val="00F91349"/>
    <w:rsid w:val="00F93A8A"/>
    <w:rsid w:val="00F95248"/>
    <w:rsid w:val="00F956A9"/>
    <w:rsid w:val="00F963ED"/>
    <w:rsid w:val="00F966CF"/>
    <w:rsid w:val="00F96CAE"/>
    <w:rsid w:val="00F97C99"/>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2A7C"/>
    <w:rsid w:val="00FD4B00"/>
    <w:rsid w:val="00FD59EB"/>
    <w:rsid w:val="00FD6CD3"/>
    <w:rsid w:val="00FD7299"/>
    <w:rsid w:val="00FE1FBE"/>
    <w:rsid w:val="00FE3901"/>
    <w:rsid w:val="00FE39D3"/>
    <w:rsid w:val="00FE4BCE"/>
    <w:rsid w:val="00FE54AE"/>
    <w:rsid w:val="00FE576A"/>
    <w:rsid w:val="00FE7E79"/>
    <w:rsid w:val="00FF3E7D"/>
    <w:rsid w:val="00FF5B99"/>
    <w:rsid w:val="00FF730C"/>
    <w:rsid w:val="00FF73F4"/>
    <w:rsid w:val="00FF7CE4"/>
    <w:rsid w:val="00FF7E39"/>
    <w:rsid w:val="0AC02467"/>
    <w:rsid w:val="0E2C2D3D"/>
    <w:rsid w:val="1AFC47B0"/>
    <w:rsid w:val="1EB40E9D"/>
    <w:rsid w:val="1F9E7234"/>
    <w:rsid w:val="24BE0A92"/>
    <w:rsid w:val="28656698"/>
    <w:rsid w:val="2ACD0241"/>
    <w:rsid w:val="2ED03324"/>
    <w:rsid w:val="2FB67E7E"/>
    <w:rsid w:val="346949C9"/>
    <w:rsid w:val="39D848EB"/>
    <w:rsid w:val="409D029A"/>
    <w:rsid w:val="44AE7333"/>
    <w:rsid w:val="4B006AE3"/>
    <w:rsid w:val="4FF505BF"/>
    <w:rsid w:val="527B3D06"/>
    <w:rsid w:val="53014B42"/>
    <w:rsid w:val="53455E1D"/>
    <w:rsid w:val="54621ACF"/>
    <w:rsid w:val="548B3205"/>
    <w:rsid w:val="5DFF585E"/>
    <w:rsid w:val="5FAF0C51"/>
    <w:rsid w:val="670F29B2"/>
    <w:rsid w:val="6BFE67B0"/>
    <w:rsid w:val="71BC2B8C"/>
    <w:rsid w:val="79AB35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8"/>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9"/>
    <w:qFormat/>
    <w:uiPriority w:val="0"/>
    <w:pPr>
      <w:keepNext/>
      <w:keepLines/>
      <w:spacing w:before="260" w:after="260" w:line="416" w:lineRule="auto"/>
      <w:outlineLvl w:val="2"/>
    </w:pPr>
    <w:rPr>
      <w:b/>
      <w:bCs/>
      <w:sz w:val="32"/>
      <w:szCs w:val="32"/>
    </w:rPr>
  </w:style>
  <w:style w:type="paragraph" w:styleId="5">
    <w:name w:val="heading 4"/>
    <w:basedOn w:val="1"/>
    <w:next w:val="1"/>
    <w:link w:val="40"/>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1"/>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2"/>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3"/>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4"/>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5"/>
    <w:qFormat/>
    <w:uiPriority w:val="0"/>
    <w:pPr>
      <w:keepNext/>
      <w:keepLines/>
      <w:adjustRightInd/>
      <w:spacing w:before="240" w:after="64" w:line="320" w:lineRule="auto"/>
      <w:outlineLvl w:val="8"/>
    </w:pPr>
    <w:rPr>
      <w:rFonts w:ascii="Arial" w:hAnsi="Arial" w:eastAsia="黑体"/>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annotation text"/>
    <w:basedOn w:val="1"/>
    <w:link w:val="236"/>
    <w:semiHidden/>
    <w:unhideWhenUsed/>
    <w:qFormat/>
    <w:uiPriority w:val="99"/>
    <w:pPr>
      <w:jc w:val="left"/>
    </w:pPr>
  </w:style>
  <w:style w:type="paragraph" w:styleId="14">
    <w:name w:val="Body Text"/>
    <w:basedOn w:val="1"/>
    <w:link w:val="89"/>
    <w:qFormat/>
    <w:uiPriority w:val="0"/>
    <w:pPr>
      <w:spacing w:after="120"/>
    </w:pPr>
  </w:style>
  <w:style w:type="paragraph" w:styleId="15">
    <w:name w:val="toc 5"/>
    <w:basedOn w:val="1"/>
    <w:next w:val="1"/>
    <w:autoRedefine/>
    <w:unhideWhenUsed/>
    <w:qFormat/>
    <w:uiPriority w:val="39"/>
    <w:pPr>
      <w:ind w:left="839"/>
    </w:pPr>
    <w:rPr>
      <w:rFonts w:ascii="宋体"/>
    </w:rPr>
  </w:style>
  <w:style w:type="paragraph" w:styleId="16">
    <w:name w:val="toc 3"/>
    <w:basedOn w:val="1"/>
    <w:next w:val="1"/>
    <w:autoRedefine/>
    <w:unhideWhenUsed/>
    <w:qFormat/>
    <w:uiPriority w:val="39"/>
    <w:pPr>
      <w:spacing w:line="300" w:lineRule="exact"/>
      <w:ind w:left="420"/>
    </w:pPr>
    <w:rPr>
      <w:rFonts w:ascii="宋体"/>
    </w:rPr>
  </w:style>
  <w:style w:type="paragraph" w:styleId="17">
    <w:name w:val="Balloon Text"/>
    <w:basedOn w:val="1"/>
    <w:link w:val="48"/>
    <w:semiHidden/>
    <w:unhideWhenUsed/>
    <w:qFormat/>
    <w:uiPriority w:val="99"/>
    <w:rPr>
      <w:sz w:val="18"/>
      <w:szCs w:val="18"/>
    </w:rPr>
  </w:style>
  <w:style w:type="paragraph" w:styleId="18">
    <w:name w:val="footer"/>
    <w:basedOn w:val="1"/>
    <w:link w:val="47"/>
    <w:qFormat/>
    <w:uiPriority w:val="99"/>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46"/>
    <w:qFormat/>
    <w:uiPriority w:val="99"/>
    <w:pPr>
      <w:tabs>
        <w:tab w:val="center" w:pos="4153"/>
        <w:tab w:val="right" w:pos="8306"/>
      </w:tabs>
      <w:adjustRightInd/>
      <w:snapToGrid w:val="0"/>
      <w:jc w:val="center"/>
    </w:pPr>
    <w:rPr>
      <w:sz w:val="18"/>
      <w:szCs w:val="18"/>
    </w:rPr>
  </w:style>
  <w:style w:type="paragraph" w:styleId="20">
    <w:name w:val="toc 1"/>
    <w:basedOn w:val="1"/>
    <w:next w:val="1"/>
    <w:autoRedefine/>
    <w:unhideWhenUsed/>
    <w:qFormat/>
    <w:uiPriority w:val="39"/>
    <w:rPr>
      <w:rFonts w:ascii="宋体"/>
    </w:rPr>
  </w:style>
  <w:style w:type="paragraph" w:styleId="21">
    <w:name w:val="toc 4"/>
    <w:basedOn w:val="1"/>
    <w:next w:val="1"/>
    <w:autoRedefine/>
    <w:unhideWhenUsed/>
    <w:qFormat/>
    <w:uiPriority w:val="39"/>
    <w:pPr>
      <w:tabs>
        <w:tab w:val="right" w:leader="dot" w:pos="9344"/>
      </w:tabs>
      <w:spacing w:line="300" w:lineRule="exact"/>
      <w:ind w:left="629"/>
    </w:pPr>
    <w:rPr>
      <w:rFonts w:ascii="宋体"/>
    </w:rPr>
  </w:style>
  <w:style w:type="paragraph" w:styleId="22">
    <w:name w:val="footnote text"/>
    <w:basedOn w:val="1"/>
    <w:next w:val="1"/>
    <w:link w:val="102"/>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autoRedefine/>
    <w:unhideWhenUsed/>
    <w:qFormat/>
    <w:uiPriority w:val="39"/>
    <w:pPr>
      <w:spacing w:line="300" w:lineRule="exact"/>
      <w:ind w:left="1049"/>
    </w:pPr>
    <w:rPr>
      <w:rFonts w:ascii="宋体"/>
    </w:rPr>
  </w:style>
  <w:style w:type="paragraph" w:styleId="24">
    <w:name w:val="table of figures"/>
    <w:basedOn w:val="1"/>
    <w:next w:val="1"/>
    <w:semiHidden/>
    <w:qFormat/>
    <w:uiPriority w:val="0"/>
    <w:pPr>
      <w:adjustRightInd/>
      <w:spacing w:line="240" w:lineRule="auto"/>
      <w:jc w:val="left"/>
    </w:pPr>
    <w:rPr>
      <w:szCs w:val="24"/>
    </w:rPr>
  </w:style>
  <w:style w:type="paragraph" w:styleId="25">
    <w:name w:val="toc 2"/>
    <w:basedOn w:val="1"/>
    <w:next w:val="1"/>
    <w:autoRedefine/>
    <w:unhideWhenUsed/>
    <w:qFormat/>
    <w:uiPriority w:val="39"/>
    <w:pPr>
      <w:tabs>
        <w:tab w:val="right" w:leader="dot" w:pos="9344"/>
      </w:tabs>
      <w:spacing w:line="300" w:lineRule="exact"/>
      <w:ind w:left="210"/>
    </w:pPr>
    <w:rPr>
      <w:rFonts w:ascii="宋体"/>
    </w:rPr>
  </w:style>
  <w:style w:type="paragraph" w:styleId="26">
    <w:name w:val="Title"/>
    <w:basedOn w:val="1"/>
    <w:link w:val="51"/>
    <w:qFormat/>
    <w:uiPriority w:val="0"/>
    <w:pPr>
      <w:spacing w:before="240" w:after="60"/>
      <w:jc w:val="center"/>
      <w:outlineLvl w:val="0"/>
    </w:pPr>
    <w:rPr>
      <w:rFonts w:ascii="Arial" w:hAnsi="Arial" w:cs="Arial"/>
      <w:b/>
      <w:bCs/>
      <w:sz w:val="32"/>
      <w:szCs w:val="32"/>
    </w:rPr>
  </w:style>
  <w:style w:type="paragraph" w:styleId="27">
    <w:name w:val="annotation subject"/>
    <w:basedOn w:val="13"/>
    <w:next w:val="13"/>
    <w:link w:val="237"/>
    <w:semiHidden/>
    <w:unhideWhenUsed/>
    <w:qFormat/>
    <w:uiPriority w:val="99"/>
    <w:rPr>
      <w:b/>
      <w:bCs/>
    </w:rPr>
  </w:style>
  <w:style w:type="table" w:styleId="29">
    <w:name w:val="Table Grid"/>
    <w:basedOn w:val="2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qFormat/>
    <w:uiPriority w:val="22"/>
    <w:rPr>
      <w:b/>
      <w:bCs/>
    </w:rPr>
  </w:style>
  <w:style w:type="character" w:styleId="32">
    <w:name w:val="page number"/>
    <w:qFormat/>
    <w:uiPriority w:val="0"/>
    <w:rPr>
      <w:rFonts w:ascii="宋体" w:hAnsi="Times New Roman" w:eastAsia="宋体"/>
      <w:sz w:val="18"/>
    </w:rPr>
  </w:style>
  <w:style w:type="character" w:styleId="33">
    <w:name w:val="Emphasis"/>
    <w:qFormat/>
    <w:uiPriority w:val="20"/>
    <w:rPr>
      <w:i/>
      <w:iCs/>
    </w:rPr>
  </w:style>
  <w:style w:type="character" w:styleId="34">
    <w:name w:val="Hyperlink"/>
    <w:qFormat/>
    <w:uiPriority w:val="99"/>
    <w:rPr>
      <w:rFonts w:ascii="宋体" w:hAnsi="Times New Roman" w:eastAsia="宋体"/>
      <w:color w:val="auto"/>
      <w:spacing w:val="0"/>
      <w:w w:val="100"/>
      <w:position w:val="0"/>
      <w:sz w:val="21"/>
      <w:u w:val="none"/>
      <w:vertAlign w:val="baseline"/>
    </w:rPr>
  </w:style>
  <w:style w:type="character" w:styleId="35">
    <w:name w:val="annotation reference"/>
    <w:basedOn w:val="30"/>
    <w:semiHidden/>
    <w:unhideWhenUsed/>
    <w:qFormat/>
    <w:uiPriority w:val="99"/>
    <w:rPr>
      <w:sz w:val="21"/>
      <w:szCs w:val="21"/>
    </w:rPr>
  </w:style>
  <w:style w:type="character" w:styleId="36">
    <w:name w:val="footnote reference"/>
    <w:semiHidden/>
    <w:qFormat/>
    <w:uiPriority w:val="0"/>
    <w:rPr>
      <w:rFonts w:ascii="宋体" w:hAnsi="宋体" w:eastAsia="宋体" w:cs="Times New Roman"/>
      <w:spacing w:val="0"/>
      <w:sz w:val="18"/>
      <w:vertAlign w:val="superscript"/>
    </w:rPr>
  </w:style>
  <w:style w:type="character" w:customStyle="1" w:styleId="37">
    <w:name w:val="标题 1 字符"/>
    <w:link w:val="2"/>
    <w:qFormat/>
    <w:uiPriority w:val="0"/>
    <w:rPr>
      <w:b/>
      <w:bCs/>
      <w:kern w:val="44"/>
      <w:sz w:val="44"/>
      <w:szCs w:val="44"/>
    </w:rPr>
  </w:style>
  <w:style w:type="character" w:customStyle="1" w:styleId="38">
    <w:name w:val="标题 2 字符"/>
    <w:link w:val="3"/>
    <w:qFormat/>
    <w:uiPriority w:val="0"/>
    <w:rPr>
      <w:rFonts w:ascii="Arial" w:hAnsi="Arial" w:eastAsia="黑体"/>
      <w:b/>
      <w:bCs/>
      <w:kern w:val="2"/>
      <w:sz w:val="32"/>
      <w:szCs w:val="32"/>
    </w:rPr>
  </w:style>
  <w:style w:type="character" w:customStyle="1" w:styleId="39">
    <w:name w:val="标题 3 字符"/>
    <w:link w:val="4"/>
    <w:qFormat/>
    <w:uiPriority w:val="0"/>
    <w:rPr>
      <w:b/>
      <w:bCs/>
      <w:kern w:val="2"/>
      <w:sz w:val="32"/>
      <w:szCs w:val="32"/>
    </w:rPr>
  </w:style>
  <w:style w:type="character" w:customStyle="1" w:styleId="40">
    <w:name w:val="标题 4 字符"/>
    <w:link w:val="5"/>
    <w:qFormat/>
    <w:uiPriority w:val="0"/>
    <w:rPr>
      <w:rFonts w:ascii="Arial" w:hAnsi="Arial" w:eastAsia="黑体"/>
      <w:b/>
      <w:bCs/>
      <w:kern w:val="2"/>
      <w:sz w:val="28"/>
      <w:szCs w:val="28"/>
    </w:rPr>
  </w:style>
  <w:style w:type="character" w:customStyle="1" w:styleId="41">
    <w:name w:val="标题 5 字符"/>
    <w:link w:val="6"/>
    <w:qFormat/>
    <w:uiPriority w:val="0"/>
    <w:rPr>
      <w:b/>
      <w:bCs/>
      <w:kern w:val="2"/>
      <w:sz w:val="28"/>
      <w:szCs w:val="28"/>
    </w:rPr>
  </w:style>
  <w:style w:type="character" w:customStyle="1" w:styleId="42">
    <w:name w:val="标题 6 字符"/>
    <w:link w:val="7"/>
    <w:qFormat/>
    <w:uiPriority w:val="0"/>
    <w:rPr>
      <w:rFonts w:ascii="Arial" w:hAnsi="Arial" w:eastAsia="黑体"/>
      <w:b/>
      <w:bCs/>
      <w:kern w:val="2"/>
      <w:sz w:val="24"/>
      <w:szCs w:val="24"/>
    </w:rPr>
  </w:style>
  <w:style w:type="character" w:customStyle="1" w:styleId="43">
    <w:name w:val="标题 7 字符"/>
    <w:link w:val="8"/>
    <w:qFormat/>
    <w:uiPriority w:val="0"/>
    <w:rPr>
      <w:b/>
      <w:bCs/>
      <w:kern w:val="2"/>
      <w:sz w:val="24"/>
      <w:szCs w:val="24"/>
    </w:rPr>
  </w:style>
  <w:style w:type="character" w:customStyle="1" w:styleId="44">
    <w:name w:val="标题 8 字符"/>
    <w:link w:val="9"/>
    <w:qFormat/>
    <w:uiPriority w:val="0"/>
    <w:rPr>
      <w:rFonts w:ascii="Arial" w:hAnsi="Arial" w:eastAsia="黑体"/>
      <w:kern w:val="2"/>
      <w:sz w:val="24"/>
      <w:szCs w:val="24"/>
    </w:rPr>
  </w:style>
  <w:style w:type="character" w:customStyle="1" w:styleId="45">
    <w:name w:val="标题 9 字符"/>
    <w:link w:val="10"/>
    <w:qFormat/>
    <w:uiPriority w:val="0"/>
    <w:rPr>
      <w:rFonts w:ascii="Arial" w:hAnsi="Arial" w:eastAsia="黑体"/>
      <w:kern w:val="2"/>
      <w:sz w:val="21"/>
      <w:szCs w:val="21"/>
    </w:rPr>
  </w:style>
  <w:style w:type="character" w:customStyle="1" w:styleId="46">
    <w:name w:val="页眉 字符"/>
    <w:link w:val="19"/>
    <w:qFormat/>
    <w:uiPriority w:val="99"/>
    <w:rPr>
      <w:kern w:val="2"/>
      <w:sz w:val="18"/>
      <w:szCs w:val="18"/>
    </w:rPr>
  </w:style>
  <w:style w:type="character" w:customStyle="1" w:styleId="47">
    <w:name w:val="页脚 字符"/>
    <w:link w:val="18"/>
    <w:qFormat/>
    <w:uiPriority w:val="99"/>
    <w:rPr>
      <w:rFonts w:ascii="宋体"/>
      <w:kern w:val="2"/>
      <w:sz w:val="18"/>
      <w:szCs w:val="18"/>
    </w:rPr>
  </w:style>
  <w:style w:type="character" w:customStyle="1" w:styleId="48">
    <w:name w:val="批注框文本 字符"/>
    <w:link w:val="17"/>
    <w:semiHidden/>
    <w:qFormat/>
    <w:uiPriority w:val="99"/>
    <w:rPr>
      <w:kern w:val="2"/>
      <w:sz w:val="18"/>
      <w:szCs w:val="18"/>
    </w:rPr>
  </w:style>
  <w:style w:type="paragraph" w:styleId="49">
    <w:name w:val="Quote"/>
    <w:basedOn w:val="1"/>
    <w:next w:val="1"/>
    <w:link w:val="50"/>
    <w:qFormat/>
    <w:uiPriority w:val="29"/>
    <w:rPr>
      <w:i/>
      <w:iCs/>
      <w:color w:val="000000"/>
    </w:rPr>
  </w:style>
  <w:style w:type="character" w:customStyle="1" w:styleId="50">
    <w:name w:val="引用 字符"/>
    <w:link w:val="49"/>
    <w:qFormat/>
    <w:uiPriority w:val="29"/>
    <w:rPr>
      <w:i/>
      <w:iCs/>
      <w:color w:val="000000"/>
      <w:kern w:val="2"/>
      <w:sz w:val="21"/>
      <w:szCs w:val="21"/>
    </w:rPr>
  </w:style>
  <w:style w:type="character" w:customStyle="1" w:styleId="51">
    <w:name w:val="标题 字符"/>
    <w:link w:val="26"/>
    <w:qFormat/>
    <w:uiPriority w:val="0"/>
    <w:rPr>
      <w:rFonts w:ascii="Arial" w:hAnsi="Arial" w:cs="Arial"/>
      <w:b/>
      <w:bCs/>
      <w:kern w:val="2"/>
      <w:sz w:val="32"/>
      <w:szCs w:val="32"/>
    </w:rPr>
  </w:style>
  <w:style w:type="paragraph" w:customStyle="1" w:styleId="52">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3">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4">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5">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6">
    <w:name w:val="标准书眉一"/>
    <w:qFormat/>
    <w:uiPriority w:val="0"/>
    <w:pPr>
      <w:jc w:val="both"/>
    </w:pPr>
    <w:rPr>
      <w:rFonts w:ascii="Times New Roman" w:hAnsi="Times New Roman" w:eastAsia="宋体" w:cs="Times New Roman"/>
      <w:lang w:val="en-US" w:eastAsia="zh-CN" w:bidi="ar-SA"/>
    </w:rPr>
  </w:style>
  <w:style w:type="paragraph" w:customStyle="1" w:styleId="57">
    <w:name w:val="标准文件_ICS"/>
    <w:basedOn w:val="1"/>
    <w:qFormat/>
    <w:uiPriority w:val="0"/>
    <w:pPr>
      <w:spacing w:line="0" w:lineRule="atLeast"/>
    </w:pPr>
    <w:rPr>
      <w:rFonts w:ascii="黑体" w:hAnsi="宋体" w:eastAsia="黑体"/>
    </w:rPr>
  </w:style>
  <w:style w:type="paragraph" w:customStyle="1" w:styleId="58">
    <w:name w:val="标准文件_标准正文"/>
    <w:basedOn w:val="1"/>
    <w:next w:val="59"/>
    <w:qFormat/>
    <w:uiPriority w:val="0"/>
    <w:pPr>
      <w:snapToGrid w:val="0"/>
      <w:ind w:firstLine="200" w:firstLineChars="200"/>
    </w:pPr>
    <w:rPr>
      <w:kern w:val="0"/>
    </w:rPr>
  </w:style>
  <w:style w:type="paragraph" w:customStyle="1" w:styleId="59">
    <w:name w:val="标准文件_段"/>
    <w:link w:val="187"/>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0">
    <w:name w:val="标准文件_版本"/>
    <w:basedOn w:val="58"/>
    <w:qFormat/>
    <w:uiPriority w:val="0"/>
    <w:pPr>
      <w:adjustRightInd/>
      <w:snapToGrid/>
      <w:ind w:firstLine="0" w:firstLineChars="0"/>
    </w:pPr>
    <w:rPr>
      <w:rFonts w:ascii="宋体" w:hAnsi="宋体"/>
      <w:kern w:val="2"/>
    </w:rPr>
  </w:style>
  <w:style w:type="paragraph" w:customStyle="1" w:styleId="61">
    <w:name w:val="标准文件_标准部门"/>
    <w:basedOn w:val="1"/>
    <w:qFormat/>
    <w:uiPriority w:val="0"/>
    <w:pPr>
      <w:jc w:val="center"/>
    </w:pPr>
    <w:rPr>
      <w:rFonts w:ascii="黑体" w:eastAsia="黑体"/>
      <w:kern w:val="0"/>
      <w:sz w:val="44"/>
    </w:rPr>
  </w:style>
  <w:style w:type="paragraph" w:customStyle="1" w:styleId="62">
    <w:name w:val="标准文件_标准代替"/>
    <w:basedOn w:val="1"/>
    <w:next w:val="1"/>
    <w:qFormat/>
    <w:uiPriority w:val="0"/>
    <w:pPr>
      <w:spacing w:line="310" w:lineRule="exact"/>
      <w:jc w:val="right"/>
    </w:pPr>
    <w:rPr>
      <w:rFonts w:ascii="宋体" w:hAnsi="宋体"/>
      <w:kern w:val="0"/>
    </w:rPr>
  </w:style>
  <w:style w:type="paragraph" w:customStyle="1" w:styleId="63">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4">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5">
    <w:name w:val="标准文件_页眉偶数页"/>
    <w:basedOn w:val="64"/>
    <w:next w:val="1"/>
    <w:qFormat/>
    <w:uiPriority w:val="0"/>
    <w:pPr>
      <w:jc w:val="left"/>
    </w:pPr>
  </w:style>
  <w:style w:type="paragraph" w:customStyle="1" w:styleId="66">
    <w:name w:val="标准文件_参考文献标题"/>
    <w:basedOn w:val="1"/>
    <w:next w:val="1"/>
    <w:qFormat/>
    <w:uiPriority w:val="0"/>
    <w:pPr>
      <w:widowControl/>
      <w:shd w:val="clear" w:color="FFFFFF" w:fill="FFFFFF"/>
      <w:adjustRightInd/>
      <w:spacing w:before="560" w:after="50" w:afterLines="50" w:line="240" w:lineRule="auto"/>
      <w:jc w:val="center"/>
      <w:outlineLvl w:val="0"/>
    </w:pPr>
    <w:rPr>
      <w:rFonts w:ascii="黑体" w:eastAsia="黑体"/>
      <w:kern w:val="0"/>
    </w:rPr>
  </w:style>
  <w:style w:type="paragraph" w:customStyle="1" w:styleId="67">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8">
    <w:name w:val="标准文件_二级条标题"/>
    <w:next w:val="59"/>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9">
    <w:name w:val="标准文件_发布"/>
    <w:qFormat/>
    <w:uiPriority w:val="0"/>
    <w:rPr>
      <w:rFonts w:ascii="黑体" w:eastAsia="黑体"/>
      <w:spacing w:val="0"/>
      <w:w w:val="100"/>
      <w:position w:val="3"/>
      <w:sz w:val="28"/>
    </w:rPr>
  </w:style>
  <w:style w:type="paragraph" w:customStyle="1" w:styleId="70">
    <w:name w:val="标准文件_方框数字列项"/>
    <w:basedOn w:val="59"/>
    <w:qFormat/>
    <w:uiPriority w:val="0"/>
    <w:pPr>
      <w:numPr>
        <w:ilvl w:val="0"/>
        <w:numId w:val="3"/>
      </w:numPr>
      <w:ind w:firstLine="0" w:firstLineChars="0"/>
    </w:pPr>
  </w:style>
  <w:style w:type="paragraph" w:customStyle="1" w:styleId="71">
    <w:name w:val="标准文件_封面标准编号"/>
    <w:basedOn w:val="1"/>
    <w:next w:val="62"/>
    <w:qFormat/>
    <w:uiPriority w:val="0"/>
    <w:pPr>
      <w:spacing w:line="310" w:lineRule="exact"/>
      <w:jc w:val="right"/>
    </w:pPr>
    <w:rPr>
      <w:rFonts w:ascii="黑体" w:eastAsia="黑体"/>
      <w:kern w:val="0"/>
      <w:sz w:val="28"/>
    </w:rPr>
  </w:style>
  <w:style w:type="paragraph" w:customStyle="1" w:styleId="72">
    <w:name w:val="标准文件_封面标准分类号"/>
    <w:basedOn w:val="1"/>
    <w:qFormat/>
    <w:uiPriority w:val="0"/>
    <w:rPr>
      <w:rFonts w:ascii="黑体" w:eastAsia="黑体"/>
      <w:b/>
      <w:kern w:val="0"/>
      <w:sz w:val="28"/>
    </w:rPr>
  </w:style>
  <w:style w:type="paragraph" w:customStyle="1" w:styleId="73">
    <w:name w:val="标准文件_封面标准名称"/>
    <w:basedOn w:val="1"/>
    <w:qFormat/>
    <w:uiPriority w:val="0"/>
    <w:pPr>
      <w:spacing w:line="240" w:lineRule="auto"/>
      <w:jc w:val="center"/>
    </w:pPr>
    <w:rPr>
      <w:rFonts w:ascii="黑体" w:eastAsia="黑体"/>
      <w:kern w:val="0"/>
      <w:sz w:val="52"/>
    </w:rPr>
  </w:style>
  <w:style w:type="paragraph" w:customStyle="1" w:styleId="74">
    <w:name w:val="标准文件_封面标准英文名称"/>
    <w:basedOn w:val="1"/>
    <w:qFormat/>
    <w:uiPriority w:val="0"/>
    <w:pPr>
      <w:spacing w:line="240" w:lineRule="auto"/>
      <w:jc w:val="center"/>
    </w:pPr>
    <w:rPr>
      <w:rFonts w:ascii="黑体" w:eastAsia="黑体"/>
      <w:b/>
      <w:sz w:val="28"/>
    </w:rPr>
  </w:style>
  <w:style w:type="paragraph" w:customStyle="1" w:styleId="75">
    <w:name w:val="标准文件_封面发布日期"/>
    <w:basedOn w:val="1"/>
    <w:qFormat/>
    <w:uiPriority w:val="0"/>
    <w:pPr>
      <w:spacing w:line="310" w:lineRule="exact"/>
    </w:pPr>
    <w:rPr>
      <w:rFonts w:ascii="黑体" w:eastAsia="黑体"/>
      <w:kern w:val="0"/>
      <w:sz w:val="28"/>
    </w:rPr>
  </w:style>
  <w:style w:type="paragraph" w:customStyle="1" w:styleId="76">
    <w:name w:val="标准文件_封面密级"/>
    <w:basedOn w:val="1"/>
    <w:qFormat/>
    <w:uiPriority w:val="0"/>
    <w:rPr>
      <w:rFonts w:eastAsia="黑体"/>
      <w:sz w:val="32"/>
    </w:rPr>
  </w:style>
  <w:style w:type="paragraph" w:customStyle="1" w:styleId="77">
    <w:name w:val="标准文件_封面实施日期"/>
    <w:basedOn w:val="1"/>
    <w:qFormat/>
    <w:uiPriority w:val="0"/>
    <w:pPr>
      <w:spacing w:line="310" w:lineRule="exact"/>
      <w:jc w:val="right"/>
    </w:pPr>
    <w:rPr>
      <w:rFonts w:ascii="黑体" w:eastAsia="黑体"/>
      <w:sz w:val="28"/>
    </w:rPr>
  </w:style>
  <w:style w:type="paragraph" w:customStyle="1" w:styleId="78">
    <w:name w:val="标准文件_封面抬头"/>
    <w:basedOn w:val="59"/>
    <w:qFormat/>
    <w:uiPriority w:val="0"/>
    <w:pPr>
      <w:adjustRightInd w:val="0"/>
      <w:spacing w:line="800" w:lineRule="exact"/>
      <w:ind w:firstLine="0" w:firstLineChars="0"/>
      <w:jc w:val="distribute"/>
    </w:pPr>
    <w:rPr>
      <w:rFonts w:ascii="黑体" w:eastAsia="黑体"/>
      <w:b/>
      <w:sz w:val="64"/>
    </w:rPr>
  </w:style>
  <w:style w:type="paragraph" w:customStyle="1" w:styleId="79">
    <w:name w:val="标准文件_附录标识"/>
    <w:next w:val="59"/>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80">
    <w:name w:val="标准文件_附录表标题"/>
    <w:next w:val="59"/>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81">
    <w:name w:val="标准文件_附录一级条标题"/>
    <w:next w:val="59"/>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2">
    <w:name w:val="标准文件_附录二级条标题"/>
    <w:basedOn w:val="81"/>
    <w:next w:val="59"/>
    <w:qFormat/>
    <w:uiPriority w:val="0"/>
    <w:pPr>
      <w:widowControl/>
      <w:numPr>
        <w:ilvl w:val="2"/>
      </w:numPr>
      <w:wordWrap w:val="0"/>
      <w:overflowPunct w:val="0"/>
      <w:autoSpaceDE w:val="0"/>
      <w:autoSpaceDN w:val="0"/>
      <w:textAlignment w:val="baseline"/>
      <w:outlineLvl w:val="3"/>
    </w:pPr>
  </w:style>
  <w:style w:type="paragraph" w:customStyle="1" w:styleId="83">
    <w:name w:val="标准文件_附录公式"/>
    <w:basedOn w:val="58"/>
    <w:next w:val="58"/>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4">
    <w:name w:val="标准文件_附录三级条标题"/>
    <w:next w:val="59"/>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5">
    <w:name w:val="标准文件_附录四级条标题"/>
    <w:next w:val="59"/>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6">
    <w:name w:val="标准文件_附录图标题"/>
    <w:next w:val="59"/>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7">
    <w:name w:val="标准文件_附录五级条标题"/>
    <w:next w:val="59"/>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8">
    <w:name w:val="标准文件_附录英文标识"/>
    <w:next w:val="14"/>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9">
    <w:name w:val="正文文本 字符"/>
    <w:link w:val="14"/>
    <w:qFormat/>
    <w:uiPriority w:val="0"/>
    <w:rPr>
      <w:kern w:val="2"/>
      <w:sz w:val="21"/>
      <w:szCs w:val="21"/>
    </w:rPr>
  </w:style>
  <w:style w:type="paragraph" w:customStyle="1" w:styleId="90">
    <w:name w:val="标准文件_附录章标题"/>
    <w:next w:val="59"/>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1">
    <w:name w:val="标准文件_公式后的破折号"/>
    <w:basedOn w:val="59"/>
    <w:next w:val="59"/>
    <w:qFormat/>
    <w:uiPriority w:val="0"/>
    <w:pPr>
      <w:ind w:left="488" w:leftChars="200" w:hanging="289" w:hangingChars="290"/>
    </w:pPr>
  </w:style>
  <w:style w:type="paragraph" w:customStyle="1" w:styleId="92">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3">
    <w:name w:val="标准文件_目次、标准名称标题"/>
    <w:basedOn w:val="92"/>
    <w:next w:val="59"/>
    <w:qFormat/>
    <w:uiPriority w:val="0"/>
    <w:pPr>
      <w:spacing w:line="460" w:lineRule="exact"/>
      <w:ind w:left="0" w:firstLine="0"/>
    </w:pPr>
  </w:style>
  <w:style w:type="paragraph" w:customStyle="1" w:styleId="94">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5">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6">
    <w:name w:val="标准文件_破折号列项（二级）"/>
    <w:basedOn w:val="95"/>
    <w:qFormat/>
    <w:uiPriority w:val="0"/>
    <w:pPr>
      <w:numPr>
        <w:numId w:val="10"/>
      </w:numPr>
    </w:pPr>
  </w:style>
  <w:style w:type="paragraph" w:customStyle="1" w:styleId="97">
    <w:name w:val="标准文件_三级条标题"/>
    <w:basedOn w:val="68"/>
    <w:next w:val="59"/>
    <w:qFormat/>
    <w:uiPriority w:val="0"/>
    <w:pPr>
      <w:widowControl/>
      <w:numPr>
        <w:ilvl w:val="4"/>
      </w:numPr>
      <w:outlineLvl w:val="3"/>
    </w:pPr>
  </w:style>
  <w:style w:type="character" w:customStyle="1" w:styleId="98">
    <w:name w:val="不明显参考1"/>
    <w:qFormat/>
    <w:uiPriority w:val="31"/>
    <w:rPr>
      <w:smallCaps/>
      <w:color w:val="C0504D"/>
      <w:u w:val="single"/>
    </w:rPr>
  </w:style>
  <w:style w:type="paragraph" w:customStyle="1" w:styleId="99">
    <w:name w:val="标准文件_示例后续"/>
    <w:basedOn w:val="1"/>
    <w:qFormat/>
    <w:uiPriority w:val="0"/>
    <w:pPr>
      <w:adjustRightInd/>
      <w:spacing w:line="240" w:lineRule="auto"/>
      <w:ind w:firstLine="200" w:firstLineChars="200"/>
    </w:pPr>
    <w:rPr>
      <w:sz w:val="18"/>
      <w:szCs w:val="24"/>
    </w:rPr>
  </w:style>
  <w:style w:type="paragraph" w:customStyle="1" w:styleId="100">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101">
    <w:name w:val="标准文件_四级条标题"/>
    <w:next w:val="59"/>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2">
    <w:name w:val="脚注文本 字符"/>
    <w:link w:val="22"/>
    <w:semiHidden/>
    <w:qFormat/>
    <w:uiPriority w:val="0"/>
    <w:rPr>
      <w:rFonts w:ascii="宋体"/>
      <w:kern w:val="2"/>
      <w:sz w:val="18"/>
      <w:szCs w:val="18"/>
    </w:rPr>
  </w:style>
  <w:style w:type="paragraph" w:customStyle="1" w:styleId="103">
    <w:name w:val="标准文件_条文脚注"/>
    <w:basedOn w:val="22"/>
    <w:qFormat/>
    <w:uiPriority w:val="0"/>
    <w:pPr>
      <w:adjustRightInd w:val="0"/>
      <w:spacing w:line="240" w:lineRule="auto"/>
      <w:ind w:left="0" w:leftChars="0" w:firstLine="200" w:firstLineChars="200"/>
      <w:jc w:val="both"/>
    </w:pPr>
    <w:rPr>
      <w:rFonts w:hAnsi="宋体"/>
    </w:rPr>
  </w:style>
  <w:style w:type="paragraph" w:customStyle="1" w:styleId="104">
    <w:name w:val="标准文件_图表脚注"/>
    <w:basedOn w:val="1"/>
    <w:next w:val="59"/>
    <w:qFormat/>
    <w:uiPriority w:val="0"/>
    <w:pPr>
      <w:numPr>
        <w:ilvl w:val="0"/>
        <w:numId w:val="12"/>
      </w:numPr>
      <w:spacing w:line="240" w:lineRule="auto"/>
      <w:jc w:val="left"/>
    </w:pPr>
    <w:rPr>
      <w:rFonts w:ascii="宋体" w:hAnsi="宋体"/>
      <w:sz w:val="18"/>
    </w:rPr>
  </w:style>
  <w:style w:type="character" w:customStyle="1" w:styleId="105">
    <w:name w:val="标准文件_图表脚注内容"/>
    <w:qFormat/>
    <w:uiPriority w:val="0"/>
    <w:rPr>
      <w:rFonts w:ascii="宋体" w:hAnsi="宋体" w:eastAsia="宋体" w:cs="Times New Roman"/>
      <w:spacing w:val="0"/>
      <w:sz w:val="18"/>
      <w:vertAlign w:val="superscript"/>
    </w:rPr>
  </w:style>
  <w:style w:type="paragraph" w:customStyle="1" w:styleId="106">
    <w:name w:val="标准文件_五级条标题"/>
    <w:next w:val="59"/>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7">
    <w:name w:val="标准文件_章标题"/>
    <w:next w:val="59"/>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8">
    <w:name w:val="标准文件_一级条标题"/>
    <w:basedOn w:val="107"/>
    <w:next w:val="59"/>
    <w:qFormat/>
    <w:uiPriority w:val="0"/>
    <w:pPr>
      <w:numPr>
        <w:ilvl w:val="2"/>
      </w:numPr>
      <w:spacing w:before="50" w:beforeLines="50" w:after="50" w:afterLines="50"/>
      <w:outlineLvl w:val="1"/>
    </w:pPr>
  </w:style>
  <w:style w:type="paragraph" w:customStyle="1" w:styleId="109">
    <w:name w:val="标准文件_一致程度"/>
    <w:basedOn w:val="1"/>
    <w:qFormat/>
    <w:uiPriority w:val="0"/>
    <w:pPr>
      <w:spacing w:line="440" w:lineRule="exact"/>
      <w:jc w:val="center"/>
    </w:pPr>
    <w:rPr>
      <w:sz w:val="28"/>
    </w:rPr>
  </w:style>
  <w:style w:type="paragraph" w:customStyle="1" w:styleId="110">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1">
    <w:name w:val="标准文件_英文图表脚注"/>
    <w:basedOn w:val="58"/>
    <w:qFormat/>
    <w:uiPriority w:val="0"/>
    <w:pPr>
      <w:widowControl/>
      <w:adjustRightInd/>
      <w:snapToGrid/>
      <w:spacing w:line="240" w:lineRule="auto"/>
      <w:ind w:left="79" w:hanging="79" w:hangingChars="80"/>
    </w:pPr>
    <w:rPr>
      <w:rFonts w:ascii="宋体" w:hAnsi="宋体"/>
    </w:rPr>
  </w:style>
  <w:style w:type="paragraph" w:customStyle="1" w:styleId="112">
    <w:name w:val="标准文件_数字编号列项（二级）"/>
    <w:qFormat/>
    <w:uiPriority w:val="0"/>
    <w:pPr>
      <w:numPr>
        <w:ilvl w:val="1"/>
        <w:numId w:val="13"/>
      </w:numPr>
      <w:tabs>
        <w:tab w:val="left" w:pos="851"/>
      </w:tabs>
      <w:jc w:val="both"/>
    </w:pPr>
    <w:rPr>
      <w:rFonts w:ascii="宋体" w:hAnsi="Times New Roman" w:eastAsia="宋体" w:cs="Times New Roman"/>
      <w:sz w:val="21"/>
      <w:lang w:val="en-US" w:eastAsia="zh-CN" w:bidi="ar-SA"/>
    </w:rPr>
  </w:style>
  <w:style w:type="paragraph" w:customStyle="1" w:styleId="113">
    <w:name w:val="标准文件_英文注："/>
    <w:basedOn w:val="1"/>
    <w:next w:val="59"/>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4">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5">
    <w:name w:val="标准文件_正文表标题"/>
    <w:next w:val="59"/>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6">
    <w:name w:val="标准文件_正文公式"/>
    <w:basedOn w:val="1"/>
    <w:next w:val="58"/>
    <w:qFormat/>
    <w:uiPriority w:val="0"/>
    <w:pPr>
      <w:tabs>
        <w:tab w:val="center" w:pos="4678"/>
        <w:tab w:val="right" w:leader="middleDot" w:pos="9356"/>
      </w:tabs>
      <w:spacing w:line="240" w:lineRule="auto"/>
    </w:pPr>
    <w:rPr>
      <w:rFonts w:ascii="宋体" w:hAnsi="宋体"/>
    </w:rPr>
  </w:style>
  <w:style w:type="paragraph" w:customStyle="1" w:styleId="117">
    <w:name w:val="标准文件_正文图标题"/>
    <w:next w:val="59"/>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8">
    <w:name w:val="标准文件_正文英文表标题"/>
    <w:next w:val="59"/>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9">
    <w:name w:val="标准文件_正文英文图标题"/>
    <w:next w:val="59"/>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0">
    <w:name w:val="标准文件_编号列项（三级）"/>
    <w:qFormat/>
    <w:uiPriority w:val="0"/>
    <w:pPr>
      <w:numPr>
        <w:ilvl w:val="2"/>
        <w:numId w:val="13"/>
      </w:numPr>
      <w:tabs>
        <w:tab w:val="left" w:pos="851"/>
      </w:tabs>
    </w:pPr>
    <w:rPr>
      <w:rFonts w:ascii="宋体" w:hAnsi="Times New Roman" w:eastAsia="宋体" w:cs="Times New Roman"/>
      <w:sz w:val="21"/>
      <w:lang w:val="en-US" w:eastAsia="zh-CN" w:bidi="ar-SA"/>
    </w:rPr>
  </w:style>
  <w:style w:type="paragraph" w:customStyle="1" w:styleId="121">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2">
    <w:name w:val="发布部门"/>
    <w:next w:val="59"/>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3">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4">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5">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6">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7">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8">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9">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0">
    <w:name w:val="封面正文"/>
    <w:qFormat/>
    <w:uiPriority w:val="0"/>
    <w:pPr>
      <w:jc w:val="both"/>
    </w:pPr>
    <w:rPr>
      <w:rFonts w:ascii="Times New Roman" w:hAnsi="Times New Roman" w:eastAsia="宋体" w:cs="Times New Roman"/>
      <w:lang w:val="en-US" w:eastAsia="zh-CN" w:bidi="ar-SA"/>
    </w:rPr>
  </w:style>
  <w:style w:type="paragraph" w:customStyle="1" w:styleId="131">
    <w:name w:val="附录二级无标题条"/>
    <w:basedOn w:val="1"/>
    <w:next w:val="59"/>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2">
    <w:name w:val="附录三级无标题条"/>
    <w:basedOn w:val="131"/>
    <w:next w:val="59"/>
    <w:qFormat/>
    <w:uiPriority w:val="0"/>
    <w:pPr>
      <w:outlineLvl w:val="4"/>
    </w:pPr>
  </w:style>
  <w:style w:type="paragraph" w:customStyle="1" w:styleId="133">
    <w:name w:val="附录四级无标题条"/>
    <w:basedOn w:val="132"/>
    <w:next w:val="59"/>
    <w:qFormat/>
    <w:uiPriority w:val="0"/>
    <w:pPr>
      <w:outlineLvl w:val="5"/>
    </w:pPr>
  </w:style>
  <w:style w:type="paragraph" w:customStyle="1" w:styleId="134">
    <w:name w:val="附录图"/>
    <w:next w:val="59"/>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5">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6">
    <w:name w:val="附录五级无标题条"/>
    <w:basedOn w:val="133"/>
    <w:next w:val="59"/>
    <w:qFormat/>
    <w:uiPriority w:val="0"/>
    <w:pPr>
      <w:outlineLvl w:val="6"/>
    </w:pPr>
  </w:style>
  <w:style w:type="paragraph" w:customStyle="1" w:styleId="137">
    <w:name w:val="附录性质"/>
    <w:basedOn w:val="1"/>
    <w:qFormat/>
    <w:uiPriority w:val="0"/>
    <w:pPr>
      <w:widowControl/>
      <w:adjustRightInd/>
      <w:jc w:val="center"/>
    </w:pPr>
    <w:rPr>
      <w:rFonts w:ascii="黑体" w:eastAsia="黑体"/>
    </w:rPr>
  </w:style>
  <w:style w:type="paragraph" w:customStyle="1" w:styleId="138">
    <w:name w:val="附录一级无标题条"/>
    <w:basedOn w:val="90"/>
    <w:next w:val="59"/>
    <w:qFormat/>
    <w:uiPriority w:val="0"/>
    <w:pPr>
      <w:autoSpaceDN w:val="0"/>
      <w:outlineLvl w:val="2"/>
    </w:pPr>
    <w:rPr>
      <w:rFonts w:ascii="宋体" w:hAnsi="宋体" w:eastAsia="宋体"/>
    </w:rPr>
  </w:style>
  <w:style w:type="character" w:customStyle="1" w:styleId="139">
    <w:name w:val="个人答复风格"/>
    <w:qFormat/>
    <w:uiPriority w:val="0"/>
    <w:rPr>
      <w:rFonts w:ascii="Arial" w:hAnsi="Arial" w:eastAsia="宋体" w:cs="Arial"/>
      <w:color w:val="auto"/>
      <w:spacing w:val="0"/>
      <w:sz w:val="20"/>
    </w:rPr>
  </w:style>
  <w:style w:type="character" w:customStyle="1" w:styleId="140">
    <w:name w:val="个人撰写风格"/>
    <w:qFormat/>
    <w:uiPriority w:val="0"/>
    <w:rPr>
      <w:rFonts w:ascii="Arial" w:hAnsi="Arial" w:eastAsia="宋体" w:cs="Arial"/>
      <w:color w:val="auto"/>
      <w:spacing w:val="0"/>
      <w:sz w:val="20"/>
    </w:rPr>
  </w:style>
  <w:style w:type="paragraph" w:customStyle="1" w:styleId="141">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2">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3">
    <w:name w:val="列项·"/>
    <w:basedOn w:val="59"/>
    <w:qFormat/>
    <w:uiPriority w:val="0"/>
    <w:pPr>
      <w:tabs>
        <w:tab w:val="left" w:pos="840"/>
      </w:tabs>
    </w:pPr>
  </w:style>
  <w:style w:type="paragraph" w:customStyle="1" w:styleId="144">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5">
    <w:name w:val="目录 21"/>
    <w:basedOn w:val="1"/>
    <w:next w:val="1"/>
    <w:autoRedefine/>
    <w:semiHidden/>
    <w:qFormat/>
    <w:uiPriority w:val="0"/>
    <w:pPr>
      <w:adjustRightInd/>
      <w:spacing w:line="240" w:lineRule="auto"/>
      <w:jc w:val="left"/>
    </w:pPr>
    <w:rPr>
      <w:bCs/>
      <w:iCs/>
    </w:rPr>
  </w:style>
  <w:style w:type="paragraph" w:customStyle="1" w:styleId="146">
    <w:name w:val="目录 31"/>
    <w:basedOn w:val="1"/>
    <w:next w:val="1"/>
    <w:autoRedefine/>
    <w:semiHidden/>
    <w:qFormat/>
    <w:uiPriority w:val="0"/>
    <w:pPr>
      <w:spacing w:line="240" w:lineRule="auto"/>
    </w:pPr>
    <w:rPr>
      <w:rFonts w:ascii="宋体" w:hAnsi="宋体"/>
      <w:iCs/>
    </w:rPr>
  </w:style>
  <w:style w:type="paragraph" w:customStyle="1" w:styleId="147">
    <w:name w:val="目录 41"/>
    <w:basedOn w:val="1"/>
    <w:next w:val="1"/>
    <w:autoRedefine/>
    <w:semiHidden/>
    <w:qFormat/>
    <w:uiPriority w:val="0"/>
    <w:pPr>
      <w:adjustRightInd/>
      <w:spacing w:line="240" w:lineRule="auto"/>
      <w:jc w:val="left"/>
    </w:pPr>
  </w:style>
  <w:style w:type="paragraph" w:customStyle="1" w:styleId="148">
    <w:name w:val="目录 51"/>
    <w:basedOn w:val="1"/>
    <w:next w:val="1"/>
    <w:autoRedefine/>
    <w:semiHidden/>
    <w:qFormat/>
    <w:uiPriority w:val="0"/>
    <w:pPr>
      <w:spacing w:line="240" w:lineRule="auto"/>
    </w:pPr>
    <w:rPr>
      <w:rFonts w:ascii="宋体" w:hAnsi="宋体"/>
    </w:rPr>
  </w:style>
  <w:style w:type="paragraph" w:customStyle="1" w:styleId="149">
    <w:name w:val="目录 61"/>
    <w:basedOn w:val="1"/>
    <w:next w:val="1"/>
    <w:autoRedefine/>
    <w:semiHidden/>
    <w:qFormat/>
    <w:uiPriority w:val="0"/>
    <w:pPr>
      <w:adjustRightInd/>
      <w:spacing w:line="240" w:lineRule="auto"/>
      <w:jc w:val="left"/>
    </w:pPr>
  </w:style>
  <w:style w:type="paragraph" w:customStyle="1" w:styleId="150">
    <w:name w:val="目录 71"/>
    <w:basedOn w:val="149"/>
    <w:autoRedefine/>
    <w:semiHidden/>
    <w:qFormat/>
    <w:uiPriority w:val="0"/>
    <w:pPr>
      <w:ind w:left="1260"/>
    </w:pPr>
  </w:style>
  <w:style w:type="paragraph" w:customStyle="1" w:styleId="151">
    <w:name w:val="目录 81"/>
    <w:basedOn w:val="150"/>
    <w:autoRedefine/>
    <w:semiHidden/>
    <w:qFormat/>
    <w:uiPriority w:val="0"/>
    <w:pPr>
      <w:ind w:left="1470"/>
    </w:pPr>
  </w:style>
  <w:style w:type="paragraph" w:customStyle="1" w:styleId="152">
    <w:name w:val="目录 91"/>
    <w:basedOn w:val="151"/>
    <w:autoRedefine/>
    <w:semiHidden/>
    <w:qFormat/>
    <w:uiPriority w:val="0"/>
    <w:pPr>
      <w:ind w:left="1680"/>
    </w:pPr>
  </w:style>
  <w:style w:type="paragraph" w:customStyle="1" w:styleId="153">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4">
    <w:name w:val="其他发布部门"/>
    <w:basedOn w:val="122"/>
    <w:qFormat/>
    <w:uiPriority w:val="0"/>
    <w:pPr>
      <w:framePr w:wrap="around"/>
      <w:spacing w:line="0" w:lineRule="atLeast"/>
    </w:pPr>
    <w:rPr>
      <w:rFonts w:ascii="黑体" w:eastAsia="黑体"/>
      <w:b w:val="0"/>
    </w:rPr>
  </w:style>
  <w:style w:type="paragraph" w:customStyle="1" w:styleId="155">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6">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7">
    <w:name w:val="实施日期"/>
    <w:basedOn w:val="123"/>
    <w:qFormat/>
    <w:uiPriority w:val="0"/>
    <w:pPr>
      <w:framePr w:hSpace="0" w:wrap="around" w:xAlign="right"/>
      <w:jc w:val="right"/>
    </w:pPr>
  </w:style>
  <w:style w:type="paragraph" w:customStyle="1" w:styleId="158">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9">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0">
    <w:name w:val="无标题条"/>
    <w:next w:val="59"/>
    <w:qFormat/>
    <w:uiPriority w:val="0"/>
    <w:pPr>
      <w:jc w:val="both"/>
    </w:pPr>
    <w:rPr>
      <w:rFonts w:ascii="宋体" w:hAnsi="宋体" w:eastAsia="宋体" w:cs="Times New Roman"/>
      <w:sz w:val="21"/>
      <w:lang w:val="en-US" w:eastAsia="zh-CN" w:bidi="ar-SA"/>
    </w:rPr>
  </w:style>
  <w:style w:type="paragraph" w:customStyle="1" w:styleId="161">
    <w:name w:val="五级无标题条"/>
    <w:basedOn w:val="1"/>
    <w:qFormat/>
    <w:uiPriority w:val="0"/>
    <w:pPr>
      <w:numPr>
        <w:ilvl w:val="6"/>
        <w:numId w:val="20"/>
      </w:numPr>
      <w:adjustRightInd/>
    </w:pPr>
    <w:rPr>
      <w:szCs w:val="24"/>
    </w:rPr>
  </w:style>
  <w:style w:type="paragraph" w:customStyle="1" w:styleId="162">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3">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4">
    <w:name w:val="注×:后续"/>
    <w:basedOn w:val="163"/>
    <w:qFormat/>
    <w:uiPriority w:val="0"/>
    <w:pPr>
      <w:ind w:left="1406" w:leftChars="0" w:hanging="499" w:firstLineChars="0"/>
    </w:pPr>
  </w:style>
  <w:style w:type="paragraph" w:customStyle="1" w:styleId="165">
    <w:name w:val="标准文件_一级无标题"/>
    <w:basedOn w:val="108"/>
    <w:qFormat/>
    <w:uiPriority w:val="0"/>
    <w:pPr>
      <w:spacing w:before="0" w:beforeLines="0" w:after="0" w:afterLines="0"/>
      <w:outlineLvl w:val="9"/>
    </w:pPr>
    <w:rPr>
      <w:rFonts w:ascii="宋体" w:eastAsia="宋体"/>
    </w:rPr>
  </w:style>
  <w:style w:type="paragraph" w:customStyle="1" w:styleId="166">
    <w:name w:val="标准文件_五级无标题"/>
    <w:basedOn w:val="106"/>
    <w:qFormat/>
    <w:uiPriority w:val="0"/>
    <w:pPr>
      <w:spacing w:before="0" w:beforeLines="0" w:after="0" w:afterLines="0"/>
      <w:outlineLvl w:val="9"/>
    </w:pPr>
    <w:rPr>
      <w:rFonts w:ascii="宋体" w:eastAsia="宋体"/>
    </w:rPr>
  </w:style>
  <w:style w:type="paragraph" w:customStyle="1" w:styleId="167">
    <w:name w:val="标准文件_三级无标题"/>
    <w:basedOn w:val="97"/>
    <w:qFormat/>
    <w:uiPriority w:val="0"/>
    <w:pPr>
      <w:spacing w:before="0" w:beforeLines="0" w:after="0" w:afterLines="0"/>
      <w:outlineLvl w:val="9"/>
    </w:pPr>
    <w:rPr>
      <w:rFonts w:ascii="宋体" w:eastAsia="宋体"/>
    </w:rPr>
  </w:style>
  <w:style w:type="paragraph" w:customStyle="1" w:styleId="168">
    <w:name w:val="标准文件_二级无标题"/>
    <w:basedOn w:val="68"/>
    <w:qFormat/>
    <w:uiPriority w:val="0"/>
    <w:pPr>
      <w:spacing w:before="0" w:beforeLines="0" w:after="0" w:afterLines="0"/>
      <w:outlineLvl w:val="9"/>
    </w:pPr>
    <w:rPr>
      <w:rFonts w:ascii="宋体" w:eastAsia="宋体"/>
    </w:rPr>
  </w:style>
  <w:style w:type="paragraph" w:customStyle="1" w:styleId="169">
    <w:name w:val="标准_四级无标题"/>
    <w:basedOn w:val="101"/>
    <w:next w:val="59"/>
    <w:qFormat/>
    <w:uiPriority w:val="0"/>
    <w:rPr>
      <w:rFonts w:eastAsia="宋体"/>
    </w:rPr>
  </w:style>
  <w:style w:type="paragraph" w:customStyle="1" w:styleId="170">
    <w:name w:val="标准文件_四级无标题"/>
    <w:basedOn w:val="101"/>
    <w:qFormat/>
    <w:uiPriority w:val="0"/>
    <w:pPr>
      <w:spacing w:before="0" w:beforeLines="0" w:after="0" w:afterLines="0"/>
      <w:outlineLvl w:val="9"/>
    </w:pPr>
    <w:rPr>
      <w:rFonts w:ascii="宋体" w:hAnsi="黑体" w:eastAsia="宋体"/>
      <w:szCs w:val="52"/>
    </w:rPr>
  </w:style>
  <w:style w:type="paragraph" w:customStyle="1" w:styleId="171">
    <w:name w:val="标准文件_大写罗马数字编号列项"/>
    <w:basedOn w:val="59"/>
    <w:qFormat/>
    <w:uiPriority w:val="0"/>
    <w:pPr>
      <w:numPr>
        <w:ilvl w:val="0"/>
        <w:numId w:val="23"/>
      </w:numPr>
      <w:ind w:firstLine="0" w:firstLineChars="0"/>
    </w:pPr>
    <w:rPr>
      <w:rFonts w:ascii="Times New Roman" w:cs="Arial"/>
      <w:szCs w:val="28"/>
    </w:rPr>
  </w:style>
  <w:style w:type="paragraph" w:customStyle="1" w:styleId="172">
    <w:name w:val="标准文件_小写罗马数字编号列项"/>
    <w:basedOn w:val="59"/>
    <w:qFormat/>
    <w:uiPriority w:val="0"/>
    <w:pPr>
      <w:numPr>
        <w:ilvl w:val="0"/>
        <w:numId w:val="24"/>
      </w:numPr>
      <w:ind w:firstLine="0" w:firstLineChars="0"/>
    </w:pPr>
    <w:rPr>
      <w:rFonts w:cs="Arial"/>
      <w:szCs w:val="28"/>
    </w:rPr>
  </w:style>
  <w:style w:type="paragraph" w:customStyle="1" w:styleId="173">
    <w:name w:val="标准文件_附录标题"/>
    <w:basedOn w:val="79"/>
    <w:qFormat/>
    <w:uiPriority w:val="0"/>
    <w:pPr>
      <w:numPr>
        <w:numId w:val="0"/>
      </w:numPr>
      <w:spacing w:after="280"/>
      <w:outlineLvl w:val="9"/>
    </w:pPr>
  </w:style>
  <w:style w:type="paragraph" w:customStyle="1" w:styleId="174">
    <w:name w:val="标准文件_二级项"/>
    <w:qFormat/>
    <w:uiPriority w:val="0"/>
    <w:rPr>
      <w:rFonts w:ascii="宋体" w:hAnsi="Times New Roman" w:eastAsia="宋体" w:cs="Times New Roman"/>
      <w:sz w:val="21"/>
      <w:lang w:val="en-US" w:eastAsia="zh-CN" w:bidi="ar-SA"/>
    </w:rPr>
  </w:style>
  <w:style w:type="paragraph" w:customStyle="1" w:styleId="175">
    <w:name w:val="标准文件_三级项"/>
    <w:basedOn w:val="1"/>
    <w:qFormat/>
    <w:uiPriority w:val="0"/>
    <w:pPr>
      <w:numPr>
        <w:ilvl w:val="2"/>
        <w:numId w:val="21"/>
      </w:numPr>
      <w:spacing w:line="536870612" w:lineRule="auto"/>
    </w:pPr>
    <w:rPr>
      <w:rFonts w:ascii="Times New Roman" w:hAnsi="Times New Roman"/>
    </w:rPr>
  </w:style>
  <w:style w:type="paragraph" w:customStyle="1" w:styleId="176">
    <w:name w:val="图表脚注说明"/>
    <w:basedOn w:val="1"/>
    <w:next w:val="59"/>
    <w:qFormat/>
    <w:uiPriority w:val="0"/>
    <w:pPr>
      <w:numPr>
        <w:ilvl w:val="0"/>
        <w:numId w:val="25"/>
      </w:numPr>
      <w:adjustRightInd/>
      <w:spacing w:line="240" w:lineRule="auto"/>
    </w:pPr>
    <w:rPr>
      <w:rFonts w:ascii="宋体" w:hAnsi="Times New Roman"/>
      <w:sz w:val="18"/>
      <w:szCs w:val="18"/>
    </w:rPr>
  </w:style>
  <w:style w:type="paragraph" w:customStyle="1" w:styleId="177">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8">
    <w:name w:val="标准文件_索引字母"/>
    <w:next w:val="59"/>
    <w:qFormat/>
    <w:uiPriority w:val="0"/>
    <w:pPr>
      <w:jc w:val="center"/>
    </w:pPr>
    <w:rPr>
      <w:rFonts w:ascii="宋体" w:hAnsi="宋体" w:eastAsia="Times New Roman" w:cs="Times New Roman"/>
      <w:b/>
      <w:kern w:val="2"/>
      <w:sz w:val="21"/>
      <w:lang w:val="en-US" w:eastAsia="zh-CN" w:bidi="ar-SA"/>
    </w:rPr>
  </w:style>
  <w:style w:type="paragraph" w:customStyle="1" w:styleId="179">
    <w:name w:val="标准文件_附录前"/>
    <w:next w:val="59"/>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0">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81">
    <w:name w:val="标准文件_表格"/>
    <w:basedOn w:val="59"/>
    <w:qFormat/>
    <w:uiPriority w:val="0"/>
    <w:pPr>
      <w:ind w:firstLine="0" w:firstLineChars="0"/>
      <w:jc w:val="center"/>
    </w:pPr>
    <w:rPr>
      <w:sz w:val="18"/>
    </w:rPr>
  </w:style>
  <w:style w:type="paragraph" w:customStyle="1" w:styleId="182">
    <w:name w:val="标准文件_注："/>
    <w:next w:val="59"/>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3">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4">
    <w:name w:val="标准文件_示例："/>
    <w:next w:val="185"/>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5">
    <w:name w:val="标准文件_示例内容"/>
    <w:basedOn w:val="59"/>
    <w:qFormat/>
    <w:uiPriority w:val="0"/>
    <w:pPr>
      <w:ind w:firstLine="420"/>
    </w:pPr>
    <w:rPr>
      <w:sz w:val="18"/>
    </w:rPr>
  </w:style>
  <w:style w:type="paragraph" w:customStyle="1" w:styleId="186">
    <w:name w:val="标准文件_示例×："/>
    <w:basedOn w:val="1"/>
    <w:next w:val="185"/>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7">
    <w:name w:val="标准文件_段 Char"/>
    <w:link w:val="59"/>
    <w:qFormat/>
    <w:uiPriority w:val="0"/>
    <w:rPr>
      <w:rFonts w:ascii="宋体" w:hAnsi="Times New Roman"/>
      <w:sz w:val="21"/>
    </w:rPr>
  </w:style>
  <w:style w:type="paragraph" w:customStyle="1" w:styleId="188">
    <w:name w:val="标准文件_表格续"/>
    <w:basedOn w:val="59"/>
    <w:next w:val="59"/>
    <w:qFormat/>
    <w:uiPriority w:val="0"/>
    <w:pPr>
      <w:jc w:val="center"/>
    </w:pPr>
    <w:rPr>
      <w:rFonts w:ascii="黑体" w:hAnsi="黑体" w:eastAsia="黑体"/>
    </w:rPr>
  </w:style>
  <w:style w:type="character" w:styleId="189">
    <w:name w:val="Placeholder Text"/>
    <w:basedOn w:val="30"/>
    <w:semiHidden/>
    <w:qFormat/>
    <w:uiPriority w:val="99"/>
    <w:rPr>
      <w:color w:val="808080"/>
    </w:rPr>
  </w:style>
  <w:style w:type="paragraph" w:customStyle="1" w:styleId="190">
    <w:name w:val="标准文件_二级项2"/>
    <w:basedOn w:val="59"/>
    <w:qFormat/>
    <w:uiPriority w:val="0"/>
    <w:pPr>
      <w:numPr>
        <w:ilvl w:val="1"/>
        <w:numId w:val="21"/>
      </w:numPr>
      <w:ind w:firstLine="0" w:firstLineChars="0"/>
    </w:pPr>
  </w:style>
  <w:style w:type="paragraph" w:customStyle="1" w:styleId="191">
    <w:name w:val="标准文件_三级项2"/>
    <w:basedOn w:val="59"/>
    <w:qFormat/>
    <w:uiPriority w:val="0"/>
    <w:pPr>
      <w:numPr>
        <w:ilvl w:val="0"/>
        <w:numId w:val="30"/>
      </w:numPr>
      <w:spacing w:line="300" w:lineRule="exact"/>
      <w:ind w:firstLineChars="0"/>
    </w:pPr>
    <w:rPr>
      <w:rFonts w:ascii="Times New Roman"/>
    </w:rPr>
  </w:style>
  <w:style w:type="paragraph" w:customStyle="1" w:styleId="192">
    <w:name w:val="标准文件_一级项2"/>
    <w:basedOn w:val="59"/>
    <w:qFormat/>
    <w:uiPriority w:val="0"/>
    <w:pPr>
      <w:numPr>
        <w:ilvl w:val="0"/>
        <w:numId w:val="31"/>
      </w:numPr>
      <w:spacing w:line="300" w:lineRule="exact"/>
      <w:ind w:firstLineChars="0"/>
    </w:pPr>
    <w:rPr>
      <w:rFonts w:ascii="Times New Roman"/>
    </w:rPr>
  </w:style>
  <w:style w:type="paragraph" w:customStyle="1" w:styleId="193">
    <w:name w:val="标准文件_提示"/>
    <w:basedOn w:val="59"/>
    <w:next w:val="59"/>
    <w:qFormat/>
    <w:uiPriority w:val="0"/>
    <w:pPr>
      <w:ind w:firstLine="420"/>
    </w:pPr>
    <w:rPr>
      <w:rFonts w:ascii="黑体" w:eastAsia="黑体"/>
    </w:rPr>
  </w:style>
  <w:style w:type="character" w:customStyle="1" w:styleId="194">
    <w:name w:val="标准文件_来源"/>
    <w:basedOn w:val="30"/>
    <w:qFormat/>
    <w:uiPriority w:val="1"/>
    <w:rPr>
      <w:rFonts w:eastAsia="宋体"/>
      <w:sz w:val="21"/>
    </w:rPr>
  </w:style>
  <w:style w:type="paragraph" w:customStyle="1" w:styleId="195">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6">
    <w:name w:val="其他发布日期"/>
    <w:basedOn w:val="123"/>
    <w:qFormat/>
    <w:uiPriority w:val="0"/>
    <w:pPr>
      <w:framePr w:w="3997" w:h="471" w:hRule="exact" w:hSpace="0" w:vSpace="181" w:wrap="around" w:vAnchor="page" w:hAnchor="page" w:x="1419" w:y="14097"/>
    </w:pPr>
  </w:style>
  <w:style w:type="paragraph" w:customStyle="1" w:styleId="197">
    <w:name w:val="其他实施日期"/>
    <w:basedOn w:val="157"/>
    <w:qFormat/>
    <w:uiPriority w:val="0"/>
    <w:pPr>
      <w:framePr w:w="3997" w:h="471" w:hRule="exact" w:vSpace="181" w:wrap="around" w:vAnchor="page" w:hAnchor="page" w:x="7089" w:y="14097"/>
    </w:pPr>
  </w:style>
  <w:style w:type="paragraph" w:customStyle="1" w:styleId="198">
    <w:name w:val="标准文件_文件编号"/>
    <w:basedOn w:val="59"/>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9">
    <w:name w:val="标准文件_替换文件编号"/>
    <w:basedOn w:val="198"/>
    <w:qFormat/>
    <w:uiPriority w:val="0"/>
    <w:pPr>
      <w:spacing w:before="57"/>
    </w:pPr>
    <w:rPr>
      <w:sz w:val="21"/>
    </w:rPr>
  </w:style>
  <w:style w:type="paragraph" w:customStyle="1" w:styleId="200">
    <w:name w:val="标准文件_文件名称"/>
    <w:basedOn w:val="59"/>
    <w:next w:val="59"/>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201">
    <w:name w:val="标准文件_附录图标号"/>
    <w:basedOn w:val="59"/>
    <w:next w:val="59"/>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2">
    <w:name w:val="标准文件_附录表标号"/>
    <w:basedOn w:val="59"/>
    <w:next w:val="59"/>
    <w:qFormat/>
    <w:uiPriority w:val="0"/>
    <w:pPr>
      <w:numPr>
        <w:ilvl w:val="0"/>
        <w:numId w:val="5"/>
      </w:numPr>
      <w:spacing w:line="14" w:lineRule="exact"/>
      <w:ind w:firstLine="0" w:firstLineChars="0"/>
      <w:jc w:val="center"/>
    </w:pPr>
    <w:rPr>
      <w:rFonts w:eastAsia="黑体"/>
      <w:vanish/>
      <w:sz w:val="2"/>
    </w:rPr>
  </w:style>
  <w:style w:type="paragraph" w:customStyle="1" w:styleId="203">
    <w:name w:val="标准文件_引言一级条标题"/>
    <w:basedOn w:val="59"/>
    <w:next w:val="59"/>
    <w:qFormat/>
    <w:uiPriority w:val="0"/>
    <w:pPr>
      <w:numPr>
        <w:ilvl w:val="1"/>
        <w:numId w:val="8"/>
      </w:numPr>
      <w:spacing w:before="50" w:beforeLines="50" w:after="50" w:afterLines="50"/>
      <w:ind w:firstLineChars="0"/>
    </w:pPr>
    <w:rPr>
      <w:rFonts w:ascii="黑体" w:eastAsia="黑体"/>
    </w:rPr>
  </w:style>
  <w:style w:type="paragraph" w:customStyle="1" w:styleId="204">
    <w:name w:val="标准文件_引言二级条标题"/>
    <w:basedOn w:val="59"/>
    <w:next w:val="59"/>
    <w:qFormat/>
    <w:uiPriority w:val="0"/>
    <w:pPr>
      <w:numPr>
        <w:ilvl w:val="2"/>
        <w:numId w:val="8"/>
      </w:numPr>
      <w:spacing w:before="50" w:beforeLines="50" w:after="50" w:afterLines="50"/>
      <w:ind w:firstLineChars="0"/>
    </w:pPr>
    <w:rPr>
      <w:rFonts w:ascii="黑体" w:eastAsia="黑体"/>
    </w:rPr>
  </w:style>
  <w:style w:type="paragraph" w:customStyle="1" w:styleId="205">
    <w:name w:val="标准文件_引言三级条标题"/>
    <w:basedOn w:val="59"/>
    <w:next w:val="59"/>
    <w:qFormat/>
    <w:uiPriority w:val="0"/>
    <w:pPr>
      <w:numPr>
        <w:ilvl w:val="3"/>
        <w:numId w:val="8"/>
      </w:numPr>
      <w:spacing w:before="50" w:beforeLines="50" w:after="50" w:afterLines="50"/>
      <w:ind w:firstLineChars="0"/>
    </w:pPr>
    <w:rPr>
      <w:rFonts w:ascii="黑体" w:eastAsia="黑体"/>
    </w:rPr>
  </w:style>
  <w:style w:type="paragraph" w:customStyle="1" w:styleId="206">
    <w:name w:val="标准文件_引言四级条标题"/>
    <w:basedOn w:val="59"/>
    <w:next w:val="59"/>
    <w:qFormat/>
    <w:uiPriority w:val="0"/>
    <w:pPr>
      <w:numPr>
        <w:ilvl w:val="4"/>
        <w:numId w:val="8"/>
      </w:numPr>
      <w:spacing w:before="50" w:beforeLines="50" w:after="50" w:afterLines="50"/>
      <w:ind w:firstLineChars="0"/>
    </w:pPr>
    <w:rPr>
      <w:rFonts w:ascii="黑体" w:eastAsia="黑体"/>
    </w:rPr>
  </w:style>
  <w:style w:type="paragraph" w:customStyle="1" w:styleId="207">
    <w:name w:val="标准文件_引言五级条标题"/>
    <w:basedOn w:val="59"/>
    <w:next w:val="59"/>
    <w:qFormat/>
    <w:uiPriority w:val="0"/>
    <w:pPr>
      <w:numPr>
        <w:ilvl w:val="5"/>
        <w:numId w:val="8"/>
      </w:numPr>
      <w:spacing w:before="50" w:beforeLines="50" w:after="50" w:afterLines="50"/>
      <w:ind w:firstLineChars="0"/>
    </w:pPr>
    <w:rPr>
      <w:rFonts w:ascii="黑体" w:eastAsia="黑体"/>
    </w:rPr>
  </w:style>
  <w:style w:type="paragraph" w:customStyle="1" w:styleId="208">
    <w:name w:val="标准文件_注后"/>
    <w:basedOn w:val="59"/>
    <w:qFormat/>
    <w:uiPriority w:val="0"/>
    <w:pPr>
      <w:ind w:left="811" w:firstLine="0" w:firstLineChars="0"/>
    </w:pPr>
    <w:rPr>
      <w:sz w:val="18"/>
    </w:rPr>
  </w:style>
  <w:style w:type="paragraph" w:customStyle="1" w:styleId="209">
    <w:name w:val="标准文件_注X后"/>
    <w:basedOn w:val="59"/>
    <w:qFormat/>
    <w:uiPriority w:val="0"/>
    <w:pPr>
      <w:ind w:left="811" w:firstLine="0" w:firstLineChars="0"/>
    </w:pPr>
    <w:rPr>
      <w:sz w:val="18"/>
    </w:rPr>
  </w:style>
  <w:style w:type="paragraph" w:customStyle="1" w:styleId="210">
    <w:name w:val="标准文件_示例后"/>
    <w:basedOn w:val="59"/>
    <w:qFormat/>
    <w:uiPriority w:val="0"/>
    <w:pPr>
      <w:ind w:left="964" w:firstLine="0" w:firstLineChars="0"/>
    </w:pPr>
    <w:rPr>
      <w:sz w:val="18"/>
    </w:rPr>
  </w:style>
  <w:style w:type="paragraph" w:customStyle="1" w:styleId="211">
    <w:name w:val="标准文件_示例X后"/>
    <w:basedOn w:val="59"/>
    <w:link w:val="212"/>
    <w:qFormat/>
    <w:uiPriority w:val="0"/>
    <w:pPr>
      <w:ind w:left="1049" w:firstLine="0" w:firstLineChars="0"/>
    </w:pPr>
    <w:rPr>
      <w:sz w:val="18"/>
    </w:rPr>
  </w:style>
  <w:style w:type="character" w:customStyle="1" w:styleId="212">
    <w:name w:val="标准文件_示例X后 字符"/>
    <w:basedOn w:val="187"/>
    <w:link w:val="211"/>
    <w:qFormat/>
    <w:uiPriority w:val="0"/>
    <w:rPr>
      <w:rFonts w:ascii="宋体" w:hAnsi="Times New Roman"/>
      <w:sz w:val="18"/>
    </w:rPr>
  </w:style>
  <w:style w:type="paragraph" w:customStyle="1" w:styleId="213">
    <w:name w:val="标准文件_索引项"/>
    <w:basedOn w:val="59"/>
    <w:next w:val="59"/>
    <w:qFormat/>
    <w:uiPriority w:val="0"/>
    <w:pPr>
      <w:tabs>
        <w:tab w:val="right" w:leader="dot" w:pos="9356"/>
      </w:tabs>
      <w:ind w:left="210" w:hanging="210" w:firstLineChars="0"/>
      <w:jc w:val="left"/>
    </w:pPr>
  </w:style>
  <w:style w:type="paragraph" w:customStyle="1" w:styleId="214">
    <w:name w:val="标准文件_附录一级无标题"/>
    <w:basedOn w:val="81"/>
    <w:qFormat/>
    <w:uiPriority w:val="0"/>
    <w:pPr>
      <w:spacing w:before="0" w:beforeLines="0" w:after="0" w:afterLines="0" w:line="276" w:lineRule="auto"/>
      <w:outlineLvl w:val="9"/>
    </w:pPr>
    <w:rPr>
      <w:rFonts w:ascii="宋体" w:eastAsia="宋体"/>
    </w:rPr>
  </w:style>
  <w:style w:type="paragraph" w:customStyle="1" w:styleId="215">
    <w:name w:val="标准文件_附录二级无标题"/>
    <w:basedOn w:val="82"/>
    <w:qFormat/>
    <w:uiPriority w:val="0"/>
    <w:pPr>
      <w:spacing w:before="0" w:beforeLines="0" w:after="0" w:afterLines="0" w:line="276" w:lineRule="auto"/>
      <w:outlineLvl w:val="9"/>
    </w:pPr>
    <w:rPr>
      <w:rFonts w:ascii="宋体" w:eastAsia="宋体"/>
    </w:rPr>
  </w:style>
  <w:style w:type="paragraph" w:customStyle="1" w:styleId="216">
    <w:name w:val="标准文件_附录三级无标题"/>
    <w:basedOn w:val="84"/>
    <w:qFormat/>
    <w:uiPriority w:val="0"/>
    <w:pPr>
      <w:spacing w:before="0" w:beforeLines="0" w:after="0" w:afterLines="0" w:line="276" w:lineRule="auto"/>
      <w:outlineLvl w:val="9"/>
    </w:pPr>
    <w:rPr>
      <w:rFonts w:ascii="宋体" w:eastAsia="宋体"/>
    </w:rPr>
  </w:style>
  <w:style w:type="paragraph" w:customStyle="1" w:styleId="217">
    <w:name w:val="标准文件_附录四级无标题"/>
    <w:basedOn w:val="85"/>
    <w:qFormat/>
    <w:uiPriority w:val="0"/>
    <w:pPr>
      <w:spacing w:before="0" w:beforeLines="0" w:after="0" w:afterLines="0" w:line="276" w:lineRule="auto"/>
      <w:outlineLvl w:val="9"/>
    </w:pPr>
    <w:rPr>
      <w:rFonts w:ascii="宋体" w:eastAsia="宋体"/>
    </w:rPr>
  </w:style>
  <w:style w:type="paragraph" w:customStyle="1" w:styleId="218">
    <w:name w:val="标准文件_附录五级无标题"/>
    <w:basedOn w:val="87"/>
    <w:qFormat/>
    <w:uiPriority w:val="0"/>
    <w:pPr>
      <w:spacing w:before="0" w:beforeLines="0" w:after="0" w:afterLines="0" w:line="276" w:lineRule="auto"/>
      <w:outlineLvl w:val="9"/>
    </w:pPr>
    <w:rPr>
      <w:rFonts w:ascii="宋体" w:eastAsia="宋体"/>
    </w:rPr>
  </w:style>
  <w:style w:type="paragraph" w:customStyle="1" w:styleId="219">
    <w:name w:val="标准文件_引言一级无标题"/>
    <w:basedOn w:val="203"/>
    <w:next w:val="59"/>
    <w:qFormat/>
    <w:uiPriority w:val="0"/>
    <w:pPr>
      <w:spacing w:before="0" w:beforeLines="0" w:after="0" w:afterLines="0" w:line="276" w:lineRule="auto"/>
    </w:pPr>
    <w:rPr>
      <w:rFonts w:ascii="宋体" w:eastAsia="宋体"/>
    </w:rPr>
  </w:style>
  <w:style w:type="paragraph" w:customStyle="1" w:styleId="220">
    <w:name w:val="标准文件_引言二级无标题"/>
    <w:basedOn w:val="204"/>
    <w:next w:val="59"/>
    <w:qFormat/>
    <w:uiPriority w:val="0"/>
    <w:pPr>
      <w:spacing w:before="0" w:beforeLines="0" w:after="0" w:afterLines="0" w:line="276" w:lineRule="auto"/>
    </w:pPr>
    <w:rPr>
      <w:rFonts w:ascii="宋体" w:eastAsia="宋体"/>
    </w:rPr>
  </w:style>
  <w:style w:type="paragraph" w:customStyle="1" w:styleId="221">
    <w:name w:val="标准文件_引言三级无标题"/>
    <w:basedOn w:val="205"/>
    <w:qFormat/>
    <w:uiPriority w:val="0"/>
    <w:pPr>
      <w:spacing w:before="0" w:beforeLines="0" w:after="0" w:afterLines="0" w:line="276" w:lineRule="auto"/>
    </w:pPr>
    <w:rPr>
      <w:rFonts w:ascii="宋体" w:eastAsia="宋体"/>
    </w:rPr>
  </w:style>
  <w:style w:type="paragraph" w:customStyle="1" w:styleId="222">
    <w:name w:val="标准文件_引言四级无标题"/>
    <w:basedOn w:val="206"/>
    <w:next w:val="59"/>
    <w:qFormat/>
    <w:uiPriority w:val="0"/>
    <w:pPr>
      <w:spacing w:before="0" w:beforeLines="0" w:after="0" w:afterLines="0" w:line="276" w:lineRule="auto"/>
    </w:pPr>
    <w:rPr>
      <w:rFonts w:ascii="宋体" w:eastAsia="宋体"/>
    </w:rPr>
  </w:style>
  <w:style w:type="paragraph" w:customStyle="1" w:styleId="223">
    <w:name w:val="标准文件_引言五级无标题"/>
    <w:basedOn w:val="207"/>
    <w:next w:val="59"/>
    <w:qFormat/>
    <w:uiPriority w:val="0"/>
    <w:pPr>
      <w:spacing w:before="0" w:beforeLines="0" w:after="0" w:afterLines="0" w:line="276" w:lineRule="auto"/>
    </w:pPr>
    <w:rPr>
      <w:rFonts w:ascii="宋体" w:eastAsia="宋体"/>
    </w:rPr>
  </w:style>
  <w:style w:type="paragraph" w:customStyle="1" w:styleId="224">
    <w:name w:val="标准文件_索引标题"/>
    <w:basedOn w:val="66"/>
    <w:next w:val="59"/>
    <w:qFormat/>
    <w:uiPriority w:val="0"/>
    <w:rPr>
      <w:rFonts w:hAnsi="黑体"/>
    </w:rPr>
  </w:style>
  <w:style w:type="paragraph" w:customStyle="1" w:styleId="225">
    <w:name w:val="标准文件_脚注内容"/>
    <w:basedOn w:val="59"/>
    <w:qFormat/>
    <w:uiPriority w:val="0"/>
    <w:pPr>
      <w:ind w:left="400" w:leftChars="200" w:hanging="200" w:hangingChars="200"/>
    </w:pPr>
    <w:rPr>
      <w:sz w:val="15"/>
    </w:rPr>
  </w:style>
  <w:style w:type="paragraph" w:customStyle="1" w:styleId="226">
    <w:name w:val="标准文件_术语条一"/>
    <w:basedOn w:val="165"/>
    <w:next w:val="59"/>
    <w:qFormat/>
    <w:uiPriority w:val="0"/>
  </w:style>
  <w:style w:type="paragraph" w:customStyle="1" w:styleId="227">
    <w:name w:val="标准文件_术语条二"/>
    <w:basedOn w:val="168"/>
    <w:next w:val="59"/>
    <w:qFormat/>
    <w:uiPriority w:val="0"/>
  </w:style>
  <w:style w:type="paragraph" w:customStyle="1" w:styleId="228">
    <w:name w:val="标准文件_术语条三"/>
    <w:basedOn w:val="167"/>
    <w:next w:val="59"/>
    <w:qFormat/>
    <w:uiPriority w:val="0"/>
  </w:style>
  <w:style w:type="paragraph" w:customStyle="1" w:styleId="229">
    <w:name w:val="标准文件_术语条四"/>
    <w:basedOn w:val="170"/>
    <w:next w:val="59"/>
    <w:qFormat/>
    <w:uiPriority w:val="0"/>
  </w:style>
  <w:style w:type="paragraph" w:customStyle="1" w:styleId="230">
    <w:name w:val="标准文件_术语条五"/>
    <w:basedOn w:val="166"/>
    <w:next w:val="59"/>
    <w:qFormat/>
    <w:uiPriority w:val="0"/>
  </w:style>
  <w:style w:type="paragraph" w:customStyle="1" w:styleId="23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2">
    <w:name w:val="发布"/>
    <w:basedOn w:val="30"/>
    <w:qFormat/>
    <w:uiPriority w:val="0"/>
    <w:rPr>
      <w:rFonts w:ascii="黑体" w:eastAsia="黑体"/>
      <w:spacing w:val="85"/>
      <w:w w:val="100"/>
      <w:position w:val="3"/>
      <w:sz w:val="28"/>
      <w:szCs w:val="28"/>
    </w:rPr>
  </w:style>
  <w:style w:type="paragraph" w:customStyle="1" w:styleId="233">
    <w:name w:val="acbfdd8b-e11b-4d36-88ff-6049b138f862"/>
    <w:basedOn w:val="14"/>
    <w:link w:val="234"/>
    <w:qFormat/>
    <w:uiPriority w:val="0"/>
    <w:pPr>
      <w:spacing w:after="0" w:line="288" w:lineRule="auto"/>
      <w:ind w:firstLine="50" w:firstLineChars="50"/>
      <w:jc w:val="left"/>
    </w:pPr>
    <w:rPr>
      <w:rFonts w:ascii="微软雅黑" w:hAnsi="微软雅黑" w:eastAsia="微软雅黑" w:cstheme="minorBidi"/>
      <w:color w:val="000000"/>
      <w:sz w:val="22"/>
      <w:szCs w:val="22"/>
    </w:rPr>
  </w:style>
  <w:style w:type="character" w:customStyle="1" w:styleId="234">
    <w:name w:val="acbfdd8b-e11b-4d36-88ff-6049b138f862 字符"/>
    <w:basedOn w:val="30"/>
    <w:link w:val="233"/>
    <w:qFormat/>
    <w:uiPriority w:val="0"/>
    <w:rPr>
      <w:rFonts w:ascii="微软雅黑" w:hAnsi="微软雅黑" w:eastAsia="微软雅黑" w:cstheme="minorBidi"/>
      <w:color w:val="000000"/>
      <w:kern w:val="2"/>
      <w:sz w:val="22"/>
      <w:szCs w:val="22"/>
    </w:rPr>
  </w:style>
  <w:style w:type="paragraph" w:styleId="235">
    <w:name w:val="List Paragraph"/>
    <w:basedOn w:val="1"/>
    <w:qFormat/>
    <w:uiPriority w:val="1"/>
    <w:pPr>
      <w:autoSpaceDE w:val="0"/>
      <w:autoSpaceDN w:val="0"/>
      <w:adjustRightInd/>
      <w:spacing w:line="240" w:lineRule="auto"/>
      <w:ind w:left="132"/>
      <w:jc w:val="left"/>
    </w:pPr>
    <w:rPr>
      <w:rFonts w:ascii="宋体" w:hAnsi="宋体" w:cs="宋体"/>
      <w:kern w:val="0"/>
      <w:sz w:val="22"/>
      <w:szCs w:val="22"/>
      <w:lang w:val="zh-CN" w:bidi="zh-CN"/>
    </w:rPr>
  </w:style>
  <w:style w:type="character" w:customStyle="1" w:styleId="236">
    <w:name w:val="批注文字 字符"/>
    <w:basedOn w:val="30"/>
    <w:link w:val="13"/>
    <w:semiHidden/>
    <w:qFormat/>
    <w:uiPriority w:val="99"/>
    <w:rPr>
      <w:kern w:val="2"/>
      <w:sz w:val="21"/>
      <w:szCs w:val="21"/>
    </w:rPr>
  </w:style>
  <w:style w:type="character" w:customStyle="1" w:styleId="237">
    <w:name w:val="批注主题 字符"/>
    <w:basedOn w:val="236"/>
    <w:link w:val="27"/>
    <w:semiHidden/>
    <w:qFormat/>
    <w:uiPriority w:val="99"/>
    <w:rPr>
      <w:b/>
      <w:bCs/>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9" Type="http://schemas.openxmlformats.org/officeDocument/2006/relationships/glossaryDocument" Target="glossary/document.xml"/><Relationship Id="rId28" Type="http://schemas.openxmlformats.org/officeDocument/2006/relationships/fontTable" Target="fontTable.xml"/><Relationship Id="rId27" Type="http://schemas.openxmlformats.org/officeDocument/2006/relationships/customXml" Target="../customXml/item2.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10.jpeg"/><Relationship Id="rId23" Type="http://schemas.openxmlformats.org/officeDocument/2006/relationships/image" Target="media/image9.png"/><Relationship Id="rId22" Type="http://schemas.openxmlformats.org/officeDocument/2006/relationships/image" Target="media/image8.png"/><Relationship Id="rId21" Type="http://schemas.openxmlformats.org/officeDocument/2006/relationships/image" Target="media/image7.png"/><Relationship Id="rId20" Type="http://schemas.openxmlformats.org/officeDocument/2006/relationships/image" Target="media/image6.pn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580D56B5B08F4BADBD9F28CDBAC48709"/>
        <w:style w:val=""/>
        <w:category>
          <w:name w:val="常规"/>
          <w:gallery w:val="placeholder"/>
        </w:category>
        <w:types>
          <w:type w:val="bbPlcHdr"/>
        </w:types>
        <w:behaviors>
          <w:behavior w:val="content"/>
        </w:behaviors>
        <w:description w:val=""/>
        <w:guid w:val="{7372B4EB-894E-45B7-B229-D73BAB73EAEF}"/>
      </w:docPartPr>
      <w:docPartBody>
        <w:p w14:paraId="225384B1">
          <w:pPr>
            <w:pStyle w:val="5"/>
          </w:pPr>
          <w:r>
            <w:rPr>
              <w:rStyle w:val="4"/>
              <w:rFonts w:hint="eastAsia"/>
            </w:rPr>
            <w:t>单击或点击此处输入文字。</w:t>
          </w:r>
        </w:p>
      </w:docPartBody>
    </w:docPart>
    <w:docPart>
      <w:docPartPr>
        <w:name w:val="B7CC3D851EF748DDB6302786B00FE1E7"/>
        <w:style w:val=""/>
        <w:category>
          <w:name w:val="常规"/>
          <w:gallery w:val="placeholder"/>
        </w:category>
        <w:types>
          <w:type w:val="bbPlcHdr"/>
        </w:types>
        <w:behaviors>
          <w:behavior w:val="content"/>
        </w:behaviors>
        <w:description w:val=""/>
        <w:guid w:val="{515C6D92-3444-4522-ACCC-AEAABDAF3993}"/>
      </w:docPartPr>
      <w:docPartBody>
        <w:p w14:paraId="57BA5051">
          <w:pPr>
            <w:pStyle w:val="6"/>
          </w:pPr>
          <w:r>
            <w:rPr>
              <w:rStyle w:val="4"/>
              <w:rFonts w:hint="eastAsia"/>
            </w:rPr>
            <w:t>选择一项。</w:t>
          </w:r>
        </w:p>
      </w:docPartBody>
    </w:docPart>
    <w:docPart>
      <w:docPartPr>
        <w:name w:val="BA82D06D90E64723B242681EBFFDA947"/>
        <w:style w:val=""/>
        <w:category>
          <w:name w:val="常规"/>
          <w:gallery w:val="placeholder"/>
        </w:category>
        <w:types>
          <w:type w:val="bbPlcHdr"/>
        </w:types>
        <w:behaviors>
          <w:behavior w:val="content"/>
        </w:behaviors>
        <w:description w:val=""/>
        <w:guid w:val="{A19FF405-DF7F-4DDD-B3B8-1A60772CD1E2}"/>
      </w:docPartPr>
      <w:docPartBody>
        <w:p w14:paraId="57FD4849">
          <w:pPr>
            <w:pStyle w:val="7"/>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ACF"/>
    <w:rsid w:val="000028AC"/>
    <w:rsid w:val="000E0E5C"/>
    <w:rsid w:val="00136ECA"/>
    <w:rsid w:val="001C3D88"/>
    <w:rsid w:val="002C7B93"/>
    <w:rsid w:val="00323883"/>
    <w:rsid w:val="0033414A"/>
    <w:rsid w:val="00350085"/>
    <w:rsid w:val="00352963"/>
    <w:rsid w:val="003D0132"/>
    <w:rsid w:val="00487A4E"/>
    <w:rsid w:val="004E32CF"/>
    <w:rsid w:val="004F2A1B"/>
    <w:rsid w:val="00551ACF"/>
    <w:rsid w:val="00566DB1"/>
    <w:rsid w:val="005A22DA"/>
    <w:rsid w:val="005B034F"/>
    <w:rsid w:val="00640560"/>
    <w:rsid w:val="00670B00"/>
    <w:rsid w:val="00722FD7"/>
    <w:rsid w:val="00784C28"/>
    <w:rsid w:val="00853FF7"/>
    <w:rsid w:val="0091653A"/>
    <w:rsid w:val="00A30338"/>
    <w:rsid w:val="00B01275"/>
    <w:rsid w:val="00B41CD5"/>
    <w:rsid w:val="00B50A57"/>
    <w:rsid w:val="00BB3F7F"/>
    <w:rsid w:val="00C0703B"/>
    <w:rsid w:val="00C4680B"/>
    <w:rsid w:val="00C66986"/>
    <w:rsid w:val="00C76A46"/>
    <w:rsid w:val="00C87C57"/>
    <w:rsid w:val="00CC4CD3"/>
    <w:rsid w:val="00D669F7"/>
    <w:rsid w:val="00E408A8"/>
    <w:rsid w:val="00E8119E"/>
    <w:rsid w:val="00EA1F01"/>
    <w:rsid w:val="00F13EDB"/>
    <w:rsid w:val="00FC36DE"/>
    <w:rsid w:val="00FE0E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580D56B5B08F4BADBD9F28CDBAC4870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B7CC3D851EF748DDB6302786B00FE1E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BA82D06D90E64723B242681EBFFDA947"/>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496A667-2D6B-40F0-BE34-BCA5B2767ADE}">
  <ds:schemaRefs/>
</ds:datastoreItem>
</file>

<file path=docProps/app.xml><?xml version="1.0" encoding="utf-8"?>
<Properties xmlns="http://schemas.openxmlformats.org/officeDocument/2006/extended-properties" xmlns:vt="http://schemas.openxmlformats.org/officeDocument/2006/docPropsVTypes">
  <Template>团体标准.dotx</Template>
  <Company>PCMI</Company>
  <Pages>14</Pages>
  <Words>1061</Words>
  <Characters>1494</Characters>
  <Lines>777</Lines>
  <Paragraphs>699</Paragraphs>
  <TotalTime>0</TotalTime>
  <ScaleCrop>false</ScaleCrop>
  <LinksUpToDate>false</LinksUpToDate>
  <CharactersWithSpaces>1634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2026-07-21T07:02:00Z</dcterms:created>
  <dc:creator>zjs</dc:creator>
  <dc:description>&lt;config cover="true" show_menu="true" version="1.0.0" doctype="SDKXY"&gt;_x000d_
&lt;/config&gt;</dc:description>
  <cp:lastModifiedBy>WPS_1721029502</cp:lastModifiedBy>
  <cp:lastPrinted>2026-07-21T07:02:00Z</cp:lastPrinted>
  <dcterms:modified xsi:type="dcterms:W3CDTF">2026-08-24T08:35:55Z</dcterms:modified>
  <dc:title>团体标准</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2052-12.1.0.28043</vt:lpwstr>
  </property>
  <property fmtid="{D5CDD505-2E9C-101B-9397-08002B2CF9AE}" pid="15" name="ICV">
    <vt:lpwstr>AD91420E4E52422F8FAF6A827530A0BD_13</vt:lpwstr>
  </property>
  <property fmtid="{D5CDD505-2E9C-101B-9397-08002B2CF9AE}" pid="16" name="KSOTemplateDocerSaveRecord">
    <vt:lpwstr>eyJoZGlkIjoiODFmNjU0MWIwYTY3NWFjMzk3N2M3ZWM5NzZmNDY3YmMiLCJ1c2VySWQiOiIxNjE0NTE1Mjc0In0=</vt:lpwstr>
  </property>
</Properties>
</file>